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06" w:rsidRPr="00BC481B" w:rsidRDefault="003A589D" w:rsidP="00866CA8">
      <w:pPr>
        <w:pStyle w:val="a3"/>
        <w:spacing w:before="0" w:beforeAutospacing="0" w:after="0" w:afterAutospacing="0"/>
        <w:jc w:val="center"/>
        <w:divId w:val="186676674"/>
        <w:rPr>
          <w:sz w:val="20"/>
          <w:szCs w:val="20"/>
        </w:rPr>
      </w:pPr>
      <w:r>
        <w:rPr>
          <w:rFonts w:hint="eastAsia"/>
          <w:b/>
          <w:bCs/>
          <w:sz w:val="20"/>
          <w:szCs w:val="20"/>
          <w:lang w:eastAsia="zh-CN"/>
        </w:rPr>
        <w:t xml:space="preserve"> </w:t>
      </w:r>
      <w:r w:rsidR="000D65C3" w:rsidRPr="00BC481B">
        <w:rPr>
          <w:b/>
          <w:bCs/>
          <w:sz w:val="20"/>
          <w:szCs w:val="20"/>
        </w:rPr>
        <w:t xml:space="preserve">RISE Education Announces </w:t>
      </w:r>
      <w:r w:rsidR="00EB5734" w:rsidRPr="00BC481B">
        <w:rPr>
          <w:b/>
          <w:bCs/>
          <w:sz w:val="20"/>
          <w:szCs w:val="20"/>
        </w:rPr>
        <w:t>Fourth</w:t>
      </w:r>
      <w:r w:rsidR="000D65C3" w:rsidRPr="00BC481B">
        <w:rPr>
          <w:b/>
          <w:bCs/>
          <w:sz w:val="20"/>
          <w:szCs w:val="20"/>
        </w:rPr>
        <w:t xml:space="preserve"> Quarter </w:t>
      </w:r>
      <w:r w:rsidR="00824597" w:rsidRPr="00BC481B">
        <w:rPr>
          <w:b/>
          <w:bCs/>
          <w:sz w:val="20"/>
          <w:szCs w:val="20"/>
        </w:rPr>
        <w:t xml:space="preserve">and Full Year </w:t>
      </w:r>
      <w:r w:rsidR="00F61D18" w:rsidRPr="00BC481B">
        <w:rPr>
          <w:b/>
          <w:bCs/>
          <w:sz w:val="20"/>
          <w:szCs w:val="20"/>
        </w:rPr>
        <w:t xml:space="preserve">Unaudited </w:t>
      </w:r>
      <w:r w:rsidR="000D65C3" w:rsidRPr="00BC481B">
        <w:rPr>
          <w:b/>
          <w:bCs/>
          <w:sz w:val="20"/>
          <w:szCs w:val="20"/>
        </w:rPr>
        <w:t>2017 Financial Results</w:t>
      </w:r>
    </w:p>
    <w:p w:rsidR="00FB2F06" w:rsidRPr="00BC481B" w:rsidRDefault="000D65C3" w:rsidP="00866CA8">
      <w:pPr>
        <w:pStyle w:val="a3"/>
        <w:spacing w:before="0" w:beforeAutospacing="0" w:after="0" w:afterAutospacing="0"/>
        <w:jc w:val="both"/>
        <w:divId w:val="1081558984"/>
        <w:rPr>
          <w:sz w:val="20"/>
          <w:szCs w:val="20"/>
        </w:rPr>
      </w:pPr>
      <w:r w:rsidRPr="00BC481B">
        <w:rPr>
          <w:sz w:val="20"/>
          <w:szCs w:val="20"/>
        </w:rPr>
        <w:t> </w:t>
      </w:r>
    </w:p>
    <w:p w:rsidR="00FB2F06" w:rsidRPr="00BC481B" w:rsidRDefault="000D65C3" w:rsidP="00390C09">
      <w:pPr>
        <w:pStyle w:val="a3"/>
        <w:spacing w:before="0" w:beforeAutospacing="0" w:after="0" w:afterAutospacing="0"/>
        <w:jc w:val="both"/>
        <w:divId w:val="1081558984"/>
        <w:rPr>
          <w:sz w:val="20"/>
          <w:szCs w:val="20"/>
        </w:rPr>
      </w:pPr>
      <w:r w:rsidRPr="00BC481B">
        <w:rPr>
          <w:sz w:val="20"/>
          <w:szCs w:val="20"/>
        </w:rPr>
        <w:t xml:space="preserve">BEIJING, </w:t>
      </w:r>
      <w:r w:rsidR="00EB5734" w:rsidRPr="00BC481B">
        <w:rPr>
          <w:sz w:val="20"/>
          <w:szCs w:val="20"/>
        </w:rPr>
        <w:t xml:space="preserve">March </w:t>
      </w:r>
      <w:r w:rsidR="000E3FE5" w:rsidRPr="00BC481B">
        <w:rPr>
          <w:sz w:val="20"/>
          <w:szCs w:val="20"/>
        </w:rPr>
        <w:t>1</w:t>
      </w:r>
      <w:r w:rsidR="00A579BF" w:rsidRPr="00BC481B">
        <w:rPr>
          <w:rFonts w:hint="eastAsia"/>
          <w:sz w:val="20"/>
          <w:szCs w:val="20"/>
          <w:lang w:eastAsia="zh-CN"/>
        </w:rPr>
        <w:t>6</w:t>
      </w:r>
      <w:r w:rsidR="00592C21">
        <w:rPr>
          <w:sz w:val="20"/>
          <w:szCs w:val="20"/>
        </w:rPr>
        <w:t>, 2018 – RISE Education Cayman Ltd ("RISE" or the “Company”) (NASDAQ: REDU), a leading junior English Language Training (“ELT”) provider in China, today announced its unaudited financial results for the fourth quarter and full year ended December 31, 2017.</w:t>
      </w:r>
    </w:p>
    <w:p w:rsidR="008116AE" w:rsidRPr="00BC481B" w:rsidRDefault="008116AE" w:rsidP="00390C09">
      <w:pPr>
        <w:pStyle w:val="a3"/>
        <w:spacing w:before="0" w:beforeAutospacing="0" w:after="0" w:afterAutospacing="0"/>
        <w:jc w:val="both"/>
        <w:divId w:val="1081558984"/>
        <w:rPr>
          <w:sz w:val="20"/>
          <w:szCs w:val="20"/>
        </w:rPr>
      </w:pPr>
    </w:p>
    <w:p w:rsidR="00FB2F06" w:rsidRPr="00BC481B" w:rsidRDefault="00D341C0" w:rsidP="00390C09">
      <w:pPr>
        <w:pStyle w:val="a3"/>
        <w:spacing w:before="0" w:beforeAutospacing="0" w:after="0" w:afterAutospacing="0"/>
        <w:jc w:val="both"/>
        <w:divId w:val="1081558984"/>
        <w:rPr>
          <w:sz w:val="20"/>
          <w:szCs w:val="20"/>
        </w:rPr>
      </w:pPr>
      <w:bookmarkStart w:id="0" w:name="OLE_LINK7"/>
      <w:bookmarkStart w:id="1" w:name="OLE_LINK8"/>
      <w:r>
        <w:rPr>
          <w:rFonts w:hint="eastAsia"/>
          <w:sz w:val="20"/>
          <w:szCs w:val="20"/>
          <w:lang w:eastAsia="zh-CN"/>
        </w:rPr>
        <w:t xml:space="preserve">Financial and Operational </w:t>
      </w:r>
      <w:r w:rsidR="00592C21">
        <w:rPr>
          <w:sz w:val="20"/>
          <w:szCs w:val="20"/>
        </w:rPr>
        <w:t>Highlights</w:t>
      </w:r>
    </w:p>
    <w:bookmarkEnd w:id="0"/>
    <w:bookmarkEnd w:id="1"/>
    <w:p w:rsidR="00390C09" w:rsidRPr="00F03730" w:rsidRDefault="00ED2041" w:rsidP="00390C09">
      <w:pPr>
        <w:pStyle w:val="a3"/>
        <w:numPr>
          <w:ilvl w:val="0"/>
          <w:numId w:val="1"/>
        </w:numPr>
        <w:spacing w:before="0" w:beforeAutospacing="0" w:after="0" w:afterAutospacing="0"/>
        <w:jc w:val="both"/>
        <w:divId w:val="1081558984"/>
        <w:rPr>
          <w:sz w:val="20"/>
          <w:szCs w:val="20"/>
        </w:rPr>
      </w:pPr>
      <w:r w:rsidRPr="00F03730">
        <w:rPr>
          <w:sz w:val="20"/>
          <w:szCs w:val="20"/>
        </w:rPr>
        <w:t>Total revenues</w:t>
      </w:r>
      <w:r w:rsidR="00592C21" w:rsidRPr="00F03730">
        <w:rPr>
          <w:sz w:val="20"/>
          <w:szCs w:val="20"/>
        </w:rPr>
        <w:t xml:space="preserve"> increased by</w:t>
      </w:r>
      <w:r w:rsidR="00592C21" w:rsidRPr="00F03730">
        <w:rPr>
          <w:sz w:val="20"/>
          <w:szCs w:val="20"/>
          <w:lang w:eastAsia="zh-CN"/>
        </w:rPr>
        <w:t xml:space="preserve"> 40.8</w:t>
      </w:r>
      <w:r w:rsidR="00592C21" w:rsidRPr="00F03730">
        <w:rPr>
          <w:sz w:val="20"/>
          <w:szCs w:val="20"/>
        </w:rPr>
        <w:t xml:space="preserve">% </w:t>
      </w:r>
      <w:r w:rsidR="0047065D">
        <w:rPr>
          <w:sz w:val="20"/>
          <w:szCs w:val="20"/>
        </w:rPr>
        <w:t>year-over-year</w:t>
      </w:r>
      <w:r w:rsidR="00592C21" w:rsidRPr="00F03730">
        <w:rPr>
          <w:sz w:val="20"/>
          <w:szCs w:val="20"/>
        </w:rPr>
        <w:t xml:space="preserve"> to RMB </w:t>
      </w:r>
      <w:r w:rsidR="00592C21" w:rsidRPr="00F03730">
        <w:rPr>
          <w:sz w:val="20"/>
          <w:szCs w:val="20"/>
          <w:lang w:eastAsia="zh-CN"/>
        </w:rPr>
        <w:t>272.2</w:t>
      </w:r>
      <w:r w:rsidR="00592C21" w:rsidRPr="00F03730">
        <w:rPr>
          <w:sz w:val="20"/>
          <w:szCs w:val="20"/>
        </w:rPr>
        <w:t xml:space="preserve"> million </w:t>
      </w:r>
      <w:r w:rsidR="00F03730" w:rsidRPr="00F03730">
        <w:rPr>
          <w:rFonts w:hint="eastAsia"/>
          <w:sz w:val="20"/>
          <w:szCs w:val="20"/>
          <w:lang w:eastAsia="zh-CN"/>
        </w:rPr>
        <w:t xml:space="preserve">(US$ 41.8 million) </w:t>
      </w:r>
      <w:r w:rsidR="00592C21" w:rsidRPr="00F03730">
        <w:rPr>
          <w:sz w:val="20"/>
          <w:szCs w:val="20"/>
        </w:rPr>
        <w:t xml:space="preserve">in the fourth quarter of 2017. </w:t>
      </w:r>
    </w:p>
    <w:p w:rsidR="00390C09" w:rsidRPr="00F03730" w:rsidRDefault="00ED2041" w:rsidP="00390C09">
      <w:pPr>
        <w:pStyle w:val="a3"/>
        <w:numPr>
          <w:ilvl w:val="0"/>
          <w:numId w:val="1"/>
        </w:numPr>
        <w:spacing w:before="0" w:beforeAutospacing="0" w:after="0" w:afterAutospacing="0"/>
        <w:jc w:val="both"/>
        <w:divId w:val="1081558984"/>
        <w:rPr>
          <w:sz w:val="20"/>
          <w:szCs w:val="20"/>
        </w:rPr>
      </w:pPr>
      <w:r w:rsidRPr="00F03730">
        <w:rPr>
          <w:sz w:val="20"/>
          <w:szCs w:val="20"/>
        </w:rPr>
        <w:t>Gross profit</w:t>
      </w:r>
      <w:r w:rsidR="00592C21" w:rsidRPr="00F03730">
        <w:rPr>
          <w:sz w:val="20"/>
          <w:szCs w:val="20"/>
        </w:rPr>
        <w:t xml:space="preserve"> increased by </w:t>
      </w:r>
      <w:r w:rsidR="00592C21" w:rsidRPr="00F03730">
        <w:rPr>
          <w:sz w:val="20"/>
          <w:szCs w:val="20"/>
          <w:lang w:eastAsia="zh-CN"/>
        </w:rPr>
        <w:t>41.7</w:t>
      </w:r>
      <w:r w:rsidR="00592C21" w:rsidRPr="00F03730">
        <w:rPr>
          <w:sz w:val="20"/>
          <w:szCs w:val="20"/>
        </w:rPr>
        <w:t xml:space="preserve">% </w:t>
      </w:r>
      <w:r w:rsidR="0047065D">
        <w:rPr>
          <w:sz w:val="20"/>
          <w:szCs w:val="20"/>
        </w:rPr>
        <w:t>year-over-year</w:t>
      </w:r>
      <w:r w:rsidR="00592C21" w:rsidRPr="00F03730">
        <w:rPr>
          <w:sz w:val="20"/>
          <w:szCs w:val="20"/>
        </w:rPr>
        <w:t xml:space="preserve"> to RMB </w:t>
      </w:r>
      <w:r w:rsidR="00592C21" w:rsidRPr="00F03730">
        <w:rPr>
          <w:sz w:val="20"/>
          <w:szCs w:val="20"/>
          <w:lang w:eastAsia="zh-CN"/>
        </w:rPr>
        <w:t>142.8</w:t>
      </w:r>
      <w:r w:rsidR="00592C21" w:rsidRPr="00F03730">
        <w:rPr>
          <w:sz w:val="20"/>
          <w:szCs w:val="20"/>
        </w:rPr>
        <w:t xml:space="preserve"> million </w:t>
      </w:r>
      <w:r w:rsidR="00F03730" w:rsidRPr="00F03730">
        <w:rPr>
          <w:rFonts w:hint="eastAsia"/>
          <w:sz w:val="20"/>
          <w:szCs w:val="20"/>
          <w:lang w:eastAsia="zh-CN"/>
        </w:rPr>
        <w:t xml:space="preserve">(US$ 22.0 million) </w:t>
      </w:r>
      <w:r w:rsidR="00592C21" w:rsidRPr="00F03730">
        <w:rPr>
          <w:sz w:val="20"/>
          <w:szCs w:val="20"/>
        </w:rPr>
        <w:t xml:space="preserve">in the fourth quarter of 2017. </w:t>
      </w:r>
    </w:p>
    <w:p w:rsidR="008015AF" w:rsidRPr="00F03730" w:rsidRDefault="00ED2041" w:rsidP="00390C09">
      <w:pPr>
        <w:pStyle w:val="a3"/>
        <w:numPr>
          <w:ilvl w:val="0"/>
          <w:numId w:val="1"/>
        </w:numPr>
        <w:spacing w:before="0" w:beforeAutospacing="0" w:after="0" w:afterAutospacing="0"/>
        <w:jc w:val="both"/>
        <w:divId w:val="1081558984"/>
        <w:rPr>
          <w:sz w:val="20"/>
          <w:szCs w:val="20"/>
        </w:rPr>
      </w:pPr>
      <w:r w:rsidRPr="00F03730">
        <w:rPr>
          <w:sz w:val="20"/>
          <w:szCs w:val="20"/>
          <w:lang w:eastAsia="zh-CN"/>
        </w:rPr>
        <w:t>Net loss</w:t>
      </w:r>
      <w:r w:rsidR="00592C21" w:rsidRPr="00F03730">
        <w:rPr>
          <w:sz w:val="20"/>
          <w:szCs w:val="20"/>
          <w:lang w:eastAsia="zh-CN"/>
        </w:rPr>
        <w:t xml:space="preserve"> was </w:t>
      </w:r>
      <w:r w:rsidR="005447B9" w:rsidRPr="00F03730">
        <w:rPr>
          <w:sz w:val="20"/>
          <w:szCs w:val="20"/>
          <w:lang w:eastAsia="zh-CN"/>
        </w:rPr>
        <w:t>138.0</w:t>
      </w:r>
      <w:r w:rsidR="005447B9" w:rsidRPr="00F03730">
        <w:rPr>
          <w:sz w:val="20"/>
          <w:szCs w:val="20"/>
        </w:rPr>
        <w:t xml:space="preserve"> million</w:t>
      </w:r>
      <w:r w:rsidR="00592C21" w:rsidRPr="00F03730">
        <w:rPr>
          <w:sz w:val="20"/>
          <w:szCs w:val="20"/>
        </w:rPr>
        <w:t xml:space="preserve"> </w:t>
      </w:r>
      <w:r w:rsidR="00F03730" w:rsidRPr="00F03730">
        <w:rPr>
          <w:rFonts w:hint="eastAsia"/>
          <w:sz w:val="20"/>
          <w:szCs w:val="20"/>
          <w:lang w:eastAsia="zh-CN"/>
        </w:rPr>
        <w:t xml:space="preserve">(US$ 21.2 million) </w:t>
      </w:r>
      <w:r w:rsidR="00592C21" w:rsidRPr="00F03730">
        <w:rPr>
          <w:sz w:val="20"/>
          <w:szCs w:val="20"/>
        </w:rPr>
        <w:t>in the fourth quarter of 2017.</w:t>
      </w:r>
      <w:r w:rsidR="00F03730" w:rsidRPr="00F03730">
        <w:rPr>
          <w:rFonts w:hint="eastAsia"/>
          <w:sz w:val="20"/>
          <w:szCs w:val="20"/>
          <w:lang w:eastAsia="zh-CN"/>
        </w:rPr>
        <w:t xml:space="preserve"> Excluding </w:t>
      </w:r>
      <w:r w:rsidR="00F03730" w:rsidRPr="00F03730">
        <w:rPr>
          <w:sz w:val="20"/>
          <w:szCs w:val="20"/>
        </w:rPr>
        <w:t>IPO</w:t>
      </w:r>
      <w:r w:rsidR="00F03730" w:rsidRPr="00F03730">
        <w:rPr>
          <w:rFonts w:hint="eastAsia"/>
          <w:sz w:val="20"/>
          <w:szCs w:val="20"/>
          <w:lang w:eastAsia="zh-CN"/>
        </w:rPr>
        <w:t xml:space="preserve">-related expenses, </w:t>
      </w:r>
      <w:r w:rsidR="00F03730" w:rsidRPr="00F03730">
        <w:rPr>
          <w:sz w:val="20"/>
          <w:szCs w:val="20"/>
        </w:rPr>
        <w:t>one-off expenses</w:t>
      </w:r>
      <w:r w:rsidR="00F03730" w:rsidRPr="00F03730">
        <w:rPr>
          <w:rFonts w:hint="eastAsia"/>
          <w:sz w:val="20"/>
          <w:szCs w:val="20"/>
          <w:lang w:eastAsia="zh-CN"/>
        </w:rPr>
        <w:t xml:space="preserve"> and</w:t>
      </w:r>
      <w:r w:rsidR="00F03730" w:rsidRPr="00F03730">
        <w:rPr>
          <w:sz w:val="20"/>
          <w:szCs w:val="20"/>
          <w:lang w:eastAsia="zh-CN"/>
        </w:rPr>
        <w:t xml:space="preserve"> </w:t>
      </w:r>
      <w:r w:rsidR="00F03730" w:rsidRPr="00F03730">
        <w:rPr>
          <w:sz w:val="20"/>
          <w:szCs w:val="20"/>
        </w:rPr>
        <w:t>share-based compensation</w:t>
      </w:r>
      <w:r w:rsidR="00F03730" w:rsidRPr="00F03730">
        <w:rPr>
          <w:rFonts w:hint="eastAsia"/>
          <w:sz w:val="20"/>
          <w:szCs w:val="20"/>
          <w:lang w:eastAsia="zh-CN"/>
        </w:rPr>
        <w:t>, n</w:t>
      </w:r>
      <w:r w:rsidR="00145349" w:rsidRPr="00F03730">
        <w:rPr>
          <w:rFonts w:hint="eastAsia"/>
          <w:sz w:val="20"/>
          <w:szCs w:val="20"/>
          <w:lang w:eastAsia="zh-CN"/>
        </w:rPr>
        <w:t>on-GAAP</w:t>
      </w:r>
      <w:r w:rsidR="008015AF" w:rsidRPr="00F03730">
        <w:rPr>
          <w:rFonts w:hint="eastAsia"/>
          <w:sz w:val="20"/>
          <w:szCs w:val="20"/>
          <w:lang w:eastAsia="zh-CN"/>
        </w:rPr>
        <w:t xml:space="preserve"> net income</w:t>
      </w:r>
      <w:r w:rsidR="00F03730" w:rsidRPr="00F03730">
        <w:rPr>
          <w:rFonts w:hint="eastAsia"/>
          <w:sz w:val="20"/>
          <w:szCs w:val="20"/>
          <w:vertAlign w:val="superscript"/>
          <w:lang w:eastAsia="zh-CN"/>
        </w:rPr>
        <w:t>1</w:t>
      </w:r>
      <w:r w:rsidR="008015AF" w:rsidRPr="00F03730">
        <w:rPr>
          <w:rFonts w:hint="eastAsia"/>
          <w:sz w:val="20"/>
          <w:szCs w:val="20"/>
          <w:lang w:eastAsia="zh-CN"/>
        </w:rPr>
        <w:t xml:space="preserve"> increased by 403.8% </w:t>
      </w:r>
      <w:r w:rsidR="0047065D">
        <w:rPr>
          <w:rFonts w:hint="eastAsia"/>
          <w:sz w:val="20"/>
          <w:szCs w:val="20"/>
          <w:lang w:eastAsia="zh-CN"/>
        </w:rPr>
        <w:t>year-over-year</w:t>
      </w:r>
      <w:r w:rsidR="008015AF" w:rsidRPr="00F03730">
        <w:rPr>
          <w:rFonts w:hint="eastAsia"/>
          <w:sz w:val="20"/>
          <w:szCs w:val="20"/>
          <w:lang w:eastAsia="zh-CN"/>
        </w:rPr>
        <w:t xml:space="preserve"> to RMB 28.6 million </w:t>
      </w:r>
      <w:r w:rsidR="00F03730" w:rsidRPr="00F03730">
        <w:rPr>
          <w:rFonts w:hint="eastAsia"/>
          <w:sz w:val="20"/>
          <w:szCs w:val="20"/>
          <w:lang w:eastAsia="zh-CN"/>
        </w:rPr>
        <w:t xml:space="preserve">(US$ 4.4 million) </w:t>
      </w:r>
      <w:r w:rsidR="008015AF" w:rsidRPr="00F03730">
        <w:rPr>
          <w:rFonts w:hint="eastAsia"/>
          <w:sz w:val="20"/>
          <w:szCs w:val="20"/>
          <w:lang w:eastAsia="zh-CN"/>
        </w:rPr>
        <w:t>in</w:t>
      </w:r>
      <w:r w:rsidR="00592C21" w:rsidRPr="00F03730">
        <w:rPr>
          <w:sz w:val="20"/>
          <w:szCs w:val="20"/>
          <w:lang w:eastAsia="zh-CN"/>
        </w:rPr>
        <w:t xml:space="preserve"> the </w:t>
      </w:r>
      <w:r w:rsidR="008015AF" w:rsidRPr="00F03730">
        <w:rPr>
          <w:rFonts w:hint="eastAsia"/>
          <w:sz w:val="20"/>
          <w:szCs w:val="20"/>
          <w:lang w:eastAsia="zh-CN"/>
        </w:rPr>
        <w:t>fourth quarter of 2017.</w:t>
      </w:r>
    </w:p>
    <w:p w:rsidR="00390C09" w:rsidRPr="00F03730" w:rsidRDefault="00ED2041" w:rsidP="00390C09">
      <w:pPr>
        <w:pStyle w:val="a3"/>
        <w:numPr>
          <w:ilvl w:val="0"/>
          <w:numId w:val="1"/>
        </w:numPr>
        <w:spacing w:before="0" w:beforeAutospacing="0" w:after="0" w:afterAutospacing="0"/>
        <w:jc w:val="both"/>
        <w:divId w:val="1081558984"/>
        <w:rPr>
          <w:sz w:val="20"/>
          <w:szCs w:val="20"/>
          <w:lang w:eastAsia="zh-CN"/>
        </w:rPr>
      </w:pPr>
      <w:r w:rsidRPr="00F03730">
        <w:rPr>
          <w:sz w:val="20"/>
          <w:szCs w:val="20"/>
          <w:lang w:eastAsia="zh-CN"/>
        </w:rPr>
        <w:t>Adjusted</w:t>
      </w:r>
      <w:r w:rsidRPr="00F03730">
        <w:rPr>
          <w:sz w:val="20"/>
          <w:szCs w:val="20"/>
        </w:rPr>
        <w:t xml:space="preserve"> EBITDA</w:t>
      </w:r>
      <w:r w:rsidR="00F03730" w:rsidRPr="00F03730">
        <w:rPr>
          <w:rFonts w:hint="eastAsia"/>
          <w:sz w:val="20"/>
          <w:szCs w:val="20"/>
          <w:vertAlign w:val="superscript"/>
          <w:lang w:eastAsia="zh-CN"/>
        </w:rPr>
        <w:t>2</w:t>
      </w:r>
      <w:r w:rsidR="008015AF" w:rsidRPr="00F03730">
        <w:rPr>
          <w:rFonts w:hint="eastAsia"/>
          <w:sz w:val="20"/>
          <w:szCs w:val="20"/>
          <w:lang w:eastAsia="zh-CN"/>
        </w:rPr>
        <w:t xml:space="preserve"> </w:t>
      </w:r>
      <w:r w:rsidR="00592C21" w:rsidRPr="00F03730">
        <w:rPr>
          <w:sz w:val="20"/>
          <w:szCs w:val="20"/>
        </w:rPr>
        <w:t>inc</w:t>
      </w:r>
      <w:r w:rsidR="00592C21" w:rsidRPr="00F03730">
        <w:rPr>
          <w:sz w:val="20"/>
          <w:szCs w:val="20"/>
          <w:lang w:eastAsia="zh-CN"/>
        </w:rPr>
        <w:t xml:space="preserve">reased by 99.0% </w:t>
      </w:r>
      <w:r w:rsidR="0047065D">
        <w:rPr>
          <w:sz w:val="20"/>
          <w:szCs w:val="20"/>
          <w:lang w:eastAsia="zh-CN"/>
        </w:rPr>
        <w:t>year-over-year</w:t>
      </w:r>
      <w:r w:rsidR="00592C21" w:rsidRPr="00F03730">
        <w:rPr>
          <w:sz w:val="20"/>
          <w:szCs w:val="20"/>
          <w:lang w:eastAsia="zh-CN"/>
        </w:rPr>
        <w:t xml:space="preserve"> to RMB 68.1 million </w:t>
      </w:r>
      <w:r w:rsidR="00F03730" w:rsidRPr="00F03730">
        <w:rPr>
          <w:rFonts w:hint="eastAsia"/>
          <w:sz w:val="20"/>
          <w:szCs w:val="20"/>
          <w:lang w:eastAsia="zh-CN"/>
        </w:rPr>
        <w:t xml:space="preserve">(US$ 10.5 million) </w:t>
      </w:r>
      <w:r w:rsidR="00592C21" w:rsidRPr="00F03730">
        <w:rPr>
          <w:sz w:val="20"/>
          <w:szCs w:val="20"/>
          <w:lang w:eastAsia="zh-CN"/>
        </w:rPr>
        <w:t>in the fourth quarter of 2017</w:t>
      </w:r>
      <w:r w:rsidR="00F03730" w:rsidRPr="00F03730">
        <w:rPr>
          <w:rFonts w:hint="eastAsia"/>
          <w:sz w:val="20"/>
          <w:szCs w:val="20"/>
          <w:lang w:eastAsia="zh-CN"/>
        </w:rPr>
        <w:t xml:space="preserve">. </w:t>
      </w:r>
      <w:r w:rsidR="004C304C">
        <w:rPr>
          <w:rFonts w:hint="eastAsia"/>
          <w:sz w:val="20"/>
          <w:szCs w:val="20"/>
          <w:lang w:eastAsia="zh-CN"/>
        </w:rPr>
        <w:t>A</w:t>
      </w:r>
      <w:r w:rsidRPr="00F03730">
        <w:rPr>
          <w:sz w:val="20"/>
          <w:szCs w:val="20"/>
          <w:lang w:eastAsia="zh-CN"/>
        </w:rPr>
        <w:t>djusted EBITDA</w:t>
      </w:r>
      <w:r w:rsidR="008015AF" w:rsidRPr="00BD7EAF">
        <w:rPr>
          <w:rFonts w:hint="eastAsia"/>
          <w:sz w:val="20"/>
          <w:szCs w:val="20"/>
          <w:vertAlign w:val="superscript"/>
          <w:lang w:eastAsia="zh-CN"/>
        </w:rPr>
        <w:t xml:space="preserve"> </w:t>
      </w:r>
      <w:r w:rsidR="008015AF" w:rsidRPr="00F03730">
        <w:rPr>
          <w:rFonts w:hint="eastAsia"/>
          <w:sz w:val="20"/>
          <w:szCs w:val="20"/>
          <w:lang w:eastAsia="zh-CN"/>
        </w:rPr>
        <w:t>margin expand</w:t>
      </w:r>
      <w:r w:rsidR="004C304C">
        <w:rPr>
          <w:rFonts w:hint="eastAsia"/>
          <w:sz w:val="20"/>
          <w:szCs w:val="20"/>
          <w:lang w:eastAsia="zh-CN"/>
        </w:rPr>
        <w:t>ed</w:t>
      </w:r>
      <w:r w:rsidR="008015AF" w:rsidRPr="00F03730">
        <w:rPr>
          <w:rFonts w:hint="eastAsia"/>
          <w:sz w:val="20"/>
          <w:szCs w:val="20"/>
          <w:lang w:eastAsia="zh-CN"/>
        </w:rPr>
        <w:t xml:space="preserve"> to 25.0%</w:t>
      </w:r>
      <w:r w:rsidR="00592C21" w:rsidRPr="00F03730">
        <w:rPr>
          <w:sz w:val="20"/>
          <w:szCs w:val="20"/>
          <w:lang w:eastAsia="zh-CN"/>
        </w:rPr>
        <w:t xml:space="preserve"> in the fo</w:t>
      </w:r>
      <w:r w:rsidR="00F03730" w:rsidRPr="00F03730">
        <w:rPr>
          <w:rFonts w:hint="eastAsia"/>
          <w:sz w:val="20"/>
          <w:szCs w:val="20"/>
          <w:lang w:eastAsia="zh-CN"/>
        </w:rPr>
        <w:t>u</w:t>
      </w:r>
      <w:r w:rsidR="00592C21" w:rsidRPr="00F03730">
        <w:rPr>
          <w:sz w:val="20"/>
          <w:szCs w:val="20"/>
          <w:lang w:eastAsia="zh-CN"/>
        </w:rPr>
        <w:t>rth quarter of 2017</w:t>
      </w:r>
      <w:r w:rsidR="008015AF" w:rsidRPr="00F03730">
        <w:rPr>
          <w:rFonts w:hint="eastAsia"/>
          <w:sz w:val="20"/>
          <w:szCs w:val="20"/>
          <w:lang w:eastAsia="zh-CN"/>
        </w:rPr>
        <w:t xml:space="preserve"> from 17.7%</w:t>
      </w:r>
      <w:r w:rsidR="00592C21" w:rsidRPr="00F03730">
        <w:rPr>
          <w:sz w:val="20"/>
          <w:szCs w:val="20"/>
          <w:lang w:eastAsia="zh-CN"/>
        </w:rPr>
        <w:t xml:space="preserve"> in the </w:t>
      </w:r>
      <w:r w:rsidR="008015AF" w:rsidRPr="00F03730">
        <w:rPr>
          <w:rFonts w:hint="eastAsia"/>
          <w:sz w:val="20"/>
          <w:szCs w:val="20"/>
          <w:lang w:eastAsia="zh-CN"/>
        </w:rPr>
        <w:t>same period</w:t>
      </w:r>
      <w:r w:rsidR="00592C21" w:rsidRPr="00F03730">
        <w:rPr>
          <w:sz w:val="20"/>
          <w:szCs w:val="20"/>
          <w:lang w:eastAsia="zh-CN"/>
        </w:rPr>
        <w:t xml:space="preserve"> of </w:t>
      </w:r>
      <w:r w:rsidR="008015AF" w:rsidRPr="00F03730">
        <w:rPr>
          <w:rFonts w:hint="eastAsia"/>
          <w:sz w:val="20"/>
          <w:szCs w:val="20"/>
          <w:lang w:eastAsia="zh-CN"/>
        </w:rPr>
        <w:t>the prior year</w:t>
      </w:r>
      <w:r w:rsidR="00CF5EE4" w:rsidRPr="00F03730">
        <w:rPr>
          <w:rFonts w:hint="eastAsia"/>
          <w:sz w:val="20"/>
          <w:szCs w:val="20"/>
          <w:lang w:eastAsia="zh-CN"/>
        </w:rPr>
        <w:t>.</w:t>
      </w:r>
    </w:p>
    <w:p w:rsidR="00390C09" w:rsidRPr="00BC481B" w:rsidRDefault="00592C21" w:rsidP="004814EC">
      <w:pPr>
        <w:pStyle w:val="a3"/>
        <w:numPr>
          <w:ilvl w:val="0"/>
          <w:numId w:val="2"/>
        </w:numPr>
        <w:spacing w:before="0" w:beforeAutospacing="0" w:after="0" w:afterAutospacing="0"/>
        <w:jc w:val="both"/>
        <w:divId w:val="1081558984"/>
        <w:rPr>
          <w:sz w:val="20"/>
          <w:szCs w:val="20"/>
        </w:rPr>
      </w:pPr>
      <w:r w:rsidRPr="00F03730">
        <w:rPr>
          <w:sz w:val="20"/>
          <w:szCs w:val="20"/>
          <w:lang w:eastAsia="zh-CN"/>
        </w:rPr>
        <w:t xml:space="preserve">Total number of </w:t>
      </w:r>
      <w:r w:rsidRPr="00F03730">
        <w:rPr>
          <w:sz w:val="20"/>
          <w:szCs w:val="20"/>
        </w:rPr>
        <w:t>learning centers</w:t>
      </w:r>
      <w:r w:rsidRPr="00F03730">
        <w:rPr>
          <w:sz w:val="20"/>
          <w:szCs w:val="20"/>
          <w:lang w:eastAsia="zh-CN"/>
        </w:rPr>
        <w:t xml:space="preserve"> incr</w:t>
      </w:r>
      <w:r w:rsidRPr="00F03730">
        <w:rPr>
          <w:sz w:val="20"/>
          <w:szCs w:val="20"/>
        </w:rPr>
        <w:t xml:space="preserve">eased by </w:t>
      </w:r>
      <w:r w:rsidR="00315A91">
        <w:rPr>
          <w:rFonts w:hint="eastAsia"/>
          <w:sz w:val="20"/>
          <w:szCs w:val="20"/>
          <w:lang w:eastAsia="zh-CN"/>
        </w:rPr>
        <w:t>eleven</w:t>
      </w:r>
      <w:r w:rsidR="00315A91" w:rsidRPr="00F03730">
        <w:rPr>
          <w:sz w:val="20"/>
          <w:szCs w:val="20"/>
        </w:rPr>
        <w:t xml:space="preserve"> </w:t>
      </w:r>
      <w:r w:rsidRPr="00F03730">
        <w:rPr>
          <w:sz w:val="20"/>
          <w:szCs w:val="20"/>
        </w:rPr>
        <w:t xml:space="preserve">during the </w:t>
      </w:r>
      <w:r w:rsidR="004D0929" w:rsidRPr="00F03730">
        <w:rPr>
          <w:rFonts w:hint="eastAsia"/>
          <w:sz w:val="20"/>
          <w:szCs w:val="20"/>
          <w:lang w:eastAsia="zh-CN"/>
        </w:rPr>
        <w:t xml:space="preserve">fourth </w:t>
      </w:r>
      <w:r w:rsidRPr="00F03730">
        <w:rPr>
          <w:sz w:val="20"/>
          <w:szCs w:val="20"/>
          <w:lang w:eastAsia="zh-CN"/>
        </w:rPr>
        <w:t>quarter</w:t>
      </w:r>
      <w:r w:rsidR="00DE26F8" w:rsidRPr="00F03730">
        <w:rPr>
          <w:rFonts w:hint="eastAsia"/>
          <w:sz w:val="20"/>
          <w:szCs w:val="20"/>
          <w:lang w:eastAsia="zh-CN"/>
        </w:rPr>
        <w:t xml:space="preserve">, </w:t>
      </w:r>
      <w:r w:rsidR="00DE26F8" w:rsidRPr="00F03730">
        <w:rPr>
          <w:sz w:val="20"/>
          <w:szCs w:val="20"/>
          <w:lang w:eastAsia="zh-CN"/>
        </w:rPr>
        <w:t xml:space="preserve">including three new learning centers as part of </w:t>
      </w:r>
      <w:r w:rsidR="00F65934">
        <w:rPr>
          <w:rFonts w:hint="eastAsia"/>
          <w:sz w:val="20"/>
          <w:szCs w:val="20"/>
          <w:lang w:eastAsia="zh-CN"/>
        </w:rPr>
        <w:t>the Company</w:t>
      </w:r>
      <w:r w:rsidR="00F65934">
        <w:rPr>
          <w:sz w:val="20"/>
          <w:szCs w:val="20"/>
          <w:lang w:eastAsia="zh-CN"/>
        </w:rPr>
        <w:t>’</w:t>
      </w:r>
      <w:r w:rsidR="00F65934">
        <w:rPr>
          <w:rFonts w:hint="eastAsia"/>
          <w:sz w:val="20"/>
          <w:szCs w:val="20"/>
          <w:lang w:eastAsia="zh-CN"/>
        </w:rPr>
        <w:t>s</w:t>
      </w:r>
      <w:r w:rsidR="00F65934" w:rsidRPr="00F03730">
        <w:rPr>
          <w:sz w:val="20"/>
          <w:szCs w:val="20"/>
          <w:lang w:eastAsia="zh-CN"/>
        </w:rPr>
        <w:t xml:space="preserve"> </w:t>
      </w:r>
      <w:r w:rsidR="00DE26F8" w:rsidRPr="00F03730">
        <w:rPr>
          <w:sz w:val="20"/>
          <w:szCs w:val="20"/>
          <w:lang w:eastAsia="zh-CN"/>
        </w:rPr>
        <w:t>acquisition of T</w:t>
      </w:r>
      <w:r w:rsidR="00DE26F8" w:rsidRPr="00F03730">
        <w:rPr>
          <w:sz w:val="20"/>
          <w:szCs w:val="20"/>
        </w:rPr>
        <w:t>he Edge</w:t>
      </w:r>
      <w:r w:rsidR="005951E6">
        <w:rPr>
          <w:rFonts w:hint="eastAsia"/>
          <w:sz w:val="20"/>
          <w:szCs w:val="20"/>
          <w:lang w:eastAsia="zh-CN"/>
        </w:rPr>
        <w:t xml:space="preserve"> </w:t>
      </w:r>
      <w:r w:rsidR="005951E6">
        <w:rPr>
          <w:sz w:val="20"/>
          <w:szCs w:val="20"/>
        </w:rPr>
        <w:t>Learning Centers Limited (“The Edge”)</w:t>
      </w:r>
      <w:r w:rsidR="00DE26F8" w:rsidRPr="00F03730">
        <w:rPr>
          <w:sz w:val="20"/>
          <w:szCs w:val="20"/>
          <w:lang w:eastAsia="zh-CN"/>
        </w:rPr>
        <w:t>,</w:t>
      </w:r>
      <w:r w:rsidRPr="00F03730">
        <w:rPr>
          <w:sz w:val="20"/>
          <w:szCs w:val="20"/>
          <w:lang w:eastAsia="zh-CN"/>
        </w:rPr>
        <w:t xml:space="preserve"> to 270</w:t>
      </w:r>
      <w:r w:rsidR="00DE26F8" w:rsidRPr="00F03730">
        <w:rPr>
          <w:rFonts w:hint="eastAsia"/>
          <w:sz w:val="20"/>
          <w:szCs w:val="20"/>
          <w:lang w:eastAsia="zh-CN"/>
        </w:rPr>
        <w:t xml:space="preserve"> </w:t>
      </w:r>
      <w:r w:rsidRPr="00F03730">
        <w:rPr>
          <w:sz w:val="20"/>
          <w:szCs w:val="20"/>
          <w:lang w:eastAsia="zh-CN"/>
        </w:rPr>
        <w:t>as</w:t>
      </w:r>
      <w:r w:rsidRPr="00F03730">
        <w:rPr>
          <w:sz w:val="20"/>
          <w:szCs w:val="20"/>
        </w:rPr>
        <w:t xml:space="preserve"> of </w:t>
      </w:r>
      <w:r w:rsidRPr="00F03730">
        <w:rPr>
          <w:sz w:val="20"/>
          <w:szCs w:val="20"/>
          <w:lang w:eastAsia="zh-CN"/>
        </w:rPr>
        <w:t>December 31, 20</w:t>
      </w:r>
      <w:r w:rsidRPr="00F03730">
        <w:rPr>
          <w:sz w:val="20"/>
          <w:szCs w:val="20"/>
        </w:rPr>
        <w:t>1</w:t>
      </w:r>
      <w:r>
        <w:rPr>
          <w:sz w:val="20"/>
          <w:szCs w:val="20"/>
        </w:rPr>
        <w:t xml:space="preserve">7, </w:t>
      </w:r>
      <w:r w:rsidR="00DE26F8">
        <w:rPr>
          <w:rFonts w:hint="eastAsia"/>
          <w:sz w:val="20"/>
          <w:szCs w:val="20"/>
          <w:lang w:eastAsia="zh-CN"/>
        </w:rPr>
        <w:t>comprising</w:t>
      </w:r>
      <w:r w:rsidR="00DE26F8">
        <w:rPr>
          <w:sz w:val="20"/>
          <w:szCs w:val="20"/>
        </w:rPr>
        <w:t xml:space="preserve"> </w:t>
      </w:r>
      <w:r>
        <w:rPr>
          <w:sz w:val="20"/>
          <w:szCs w:val="20"/>
        </w:rPr>
        <w:t>6</w:t>
      </w:r>
      <w:r>
        <w:rPr>
          <w:sz w:val="20"/>
          <w:szCs w:val="20"/>
          <w:lang w:eastAsia="zh-CN"/>
        </w:rPr>
        <w:t>4</w:t>
      </w:r>
      <w:r>
        <w:rPr>
          <w:sz w:val="20"/>
          <w:szCs w:val="20"/>
        </w:rPr>
        <w:t xml:space="preserve"> self-owned and 20</w:t>
      </w:r>
      <w:r>
        <w:rPr>
          <w:sz w:val="20"/>
          <w:szCs w:val="20"/>
          <w:lang w:eastAsia="zh-CN"/>
        </w:rPr>
        <w:t>6</w:t>
      </w:r>
      <w:r>
        <w:rPr>
          <w:sz w:val="20"/>
          <w:szCs w:val="20"/>
        </w:rPr>
        <w:t xml:space="preserve"> franchised learning centers.</w:t>
      </w:r>
    </w:p>
    <w:p w:rsidR="004814EC" w:rsidRPr="00BC481B" w:rsidRDefault="00592C21" w:rsidP="004814EC">
      <w:pPr>
        <w:pStyle w:val="a3"/>
        <w:numPr>
          <w:ilvl w:val="0"/>
          <w:numId w:val="2"/>
        </w:numPr>
        <w:spacing w:before="0" w:beforeAutospacing="0" w:after="0" w:afterAutospacing="0"/>
        <w:jc w:val="both"/>
        <w:divId w:val="1081558984"/>
        <w:rPr>
          <w:sz w:val="20"/>
          <w:szCs w:val="20"/>
        </w:rPr>
      </w:pPr>
      <w:r>
        <w:rPr>
          <w:sz w:val="20"/>
          <w:szCs w:val="20"/>
        </w:rPr>
        <w:t xml:space="preserve">Student enrollment at self-owned learning centers increased by </w:t>
      </w:r>
      <w:r w:rsidR="00F03730">
        <w:rPr>
          <w:rFonts w:hint="eastAsia"/>
          <w:sz w:val="20"/>
          <w:szCs w:val="20"/>
          <w:lang w:eastAsia="zh-CN"/>
        </w:rPr>
        <w:t>37.9</w:t>
      </w:r>
      <w:r>
        <w:rPr>
          <w:sz w:val="20"/>
          <w:szCs w:val="20"/>
        </w:rPr>
        <w:t xml:space="preserve">% </w:t>
      </w:r>
      <w:r w:rsidR="0047065D">
        <w:rPr>
          <w:sz w:val="20"/>
          <w:szCs w:val="20"/>
        </w:rPr>
        <w:t>year-over-year</w:t>
      </w:r>
      <w:r>
        <w:rPr>
          <w:sz w:val="20"/>
          <w:szCs w:val="20"/>
        </w:rPr>
        <w:t xml:space="preserve"> to </w:t>
      </w:r>
      <w:r w:rsidR="00F03730">
        <w:rPr>
          <w:rFonts w:hint="eastAsia"/>
          <w:sz w:val="20"/>
          <w:szCs w:val="20"/>
          <w:lang w:eastAsia="zh-CN"/>
        </w:rPr>
        <w:t>49</w:t>
      </w:r>
      <w:r w:rsidR="001B492B">
        <w:rPr>
          <w:rFonts w:hint="eastAsia"/>
          <w:sz w:val="20"/>
          <w:szCs w:val="20"/>
          <w:lang w:eastAsia="zh-CN"/>
        </w:rPr>
        <w:t>,</w:t>
      </w:r>
      <w:r w:rsidR="00F03730">
        <w:rPr>
          <w:rFonts w:hint="eastAsia"/>
          <w:sz w:val="20"/>
          <w:szCs w:val="20"/>
          <w:lang w:eastAsia="zh-CN"/>
        </w:rPr>
        <w:t>894</w:t>
      </w:r>
      <w:r>
        <w:rPr>
          <w:sz w:val="20"/>
          <w:szCs w:val="20"/>
        </w:rPr>
        <w:t xml:space="preserve"> </w:t>
      </w:r>
      <w:r w:rsidR="00F03730">
        <w:rPr>
          <w:rFonts w:hint="eastAsia"/>
          <w:sz w:val="20"/>
          <w:szCs w:val="20"/>
          <w:lang w:eastAsia="zh-CN"/>
        </w:rPr>
        <w:t xml:space="preserve">in full year </w:t>
      </w:r>
      <w:r w:rsidR="00F84F0B">
        <w:rPr>
          <w:rFonts w:hint="eastAsia"/>
          <w:sz w:val="20"/>
          <w:szCs w:val="20"/>
          <w:lang w:eastAsia="zh-CN"/>
        </w:rPr>
        <w:t>2017</w:t>
      </w:r>
      <w:r>
        <w:rPr>
          <w:sz w:val="20"/>
          <w:szCs w:val="20"/>
        </w:rPr>
        <w:t>.</w:t>
      </w:r>
    </w:p>
    <w:p w:rsidR="004814EC" w:rsidRPr="00BC481B" w:rsidRDefault="00592C21" w:rsidP="004814EC">
      <w:pPr>
        <w:pStyle w:val="a3"/>
        <w:numPr>
          <w:ilvl w:val="0"/>
          <w:numId w:val="2"/>
        </w:numPr>
        <w:spacing w:before="0" w:beforeAutospacing="0" w:after="0" w:afterAutospacing="0"/>
        <w:jc w:val="both"/>
        <w:divId w:val="1081558984"/>
        <w:rPr>
          <w:sz w:val="20"/>
          <w:szCs w:val="20"/>
        </w:rPr>
      </w:pPr>
      <w:r>
        <w:rPr>
          <w:sz w:val="20"/>
          <w:szCs w:val="20"/>
        </w:rPr>
        <w:t>Student retention rate at self-owned learning centers remained stable at 70%</w:t>
      </w:r>
      <w:r>
        <w:rPr>
          <w:sz w:val="20"/>
          <w:szCs w:val="20"/>
          <w:lang w:eastAsia="zh-CN"/>
        </w:rPr>
        <w:t xml:space="preserve"> in </w:t>
      </w:r>
      <w:r w:rsidR="00F03730">
        <w:rPr>
          <w:rFonts w:hint="eastAsia"/>
          <w:sz w:val="20"/>
          <w:szCs w:val="20"/>
          <w:lang w:eastAsia="zh-CN"/>
        </w:rPr>
        <w:t xml:space="preserve">both </w:t>
      </w:r>
      <w:r>
        <w:rPr>
          <w:sz w:val="20"/>
          <w:szCs w:val="20"/>
          <w:lang w:eastAsia="zh-CN"/>
        </w:rPr>
        <w:t>the fourth quarter</w:t>
      </w:r>
      <w:r w:rsidR="00F03730">
        <w:rPr>
          <w:rFonts w:hint="eastAsia"/>
          <w:sz w:val="20"/>
          <w:szCs w:val="20"/>
          <w:lang w:eastAsia="zh-CN"/>
        </w:rPr>
        <w:t xml:space="preserve"> and full year</w:t>
      </w:r>
      <w:r>
        <w:rPr>
          <w:sz w:val="20"/>
          <w:szCs w:val="20"/>
          <w:lang w:eastAsia="zh-CN"/>
        </w:rPr>
        <w:t xml:space="preserve"> of 2017.</w:t>
      </w:r>
    </w:p>
    <w:p w:rsidR="00390C09" w:rsidRPr="00BC481B" w:rsidRDefault="00390C09" w:rsidP="004814EC">
      <w:pPr>
        <w:pStyle w:val="a3"/>
        <w:spacing w:before="0" w:beforeAutospacing="0" w:after="0" w:afterAutospacing="0"/>
        <w:jc w:val="both"/>
        <w:divId w:val="1081558984"/>
        <w:rPr>
          <w:sz w:val="20"/>
          <w:szCs w:val="20"/>
        </w:rPr>
      </w:pPr>
    </w:p>
    <w:p w:rsidR="004814EC" w:rsidRPr="00BC481B" w:rsidRDefault="00592C21" w:rsidP="004814EC">
      <w:pPr>
        <w:pStyle w:val="a3"/>
        <w:spacing w:before="0" w:beforeAutospacing="0" w:after="0" w:afterAutospacing="0"/>
        <w:jc w:val="both"/>
        <w:divId w:val="1081558984"/>
        <w:rPr>
          <w:sz w:val="20"/>
          <w:szCs w:val="20"/>
        </w:rPr>
      </w:pPr>
      <w:r>
        <w:rPr>
          <w:sz w:val="20"/>
          <w:szCs w:val="20"/>
        </w:rPr>
        <w:t xml:space="preserve">“We are pleased to </w:t>
      </w:r>
      <w:r w:rsidR="00DE26F8">
        <w:rPr>
          <w:rFonts w:hint="eastAsia"/>
          <w:sz w:val="20"/>
          <w:szCs w:val="20"/>
          <w:lang w:eastAsia="zh-CN"/>
        </w:rPr>
        <w:t xml:space="preserve">have </w:t>
      </w:r>
      <w:r>
        <w:rPr>
          <w:sz w:val="20"/>
          <w:szCs w:val="20"/>
        </w:rPr>
        <w:t>conclude</w:t>
      </w:r>
      <w:r w:rsidR="00DE26F8">
        <w:rPr>
          <w:rFonts w:hint="eastAsia"/>
          <w:sz w:val="20"/>
          <w:szCs w:val="20"/>
          <w:lang w:eastAsia="zh-CN"/>
        </w:rPr>
        <w:t>d</w:t>
      </w:r>
      <w:r>
        <w:rPr>
          <w:sz w:val="20"/>
          <w:szCs w:val="20"/>
        </w:rPr>
        <w:t xml:space="preserve"> fiscal year 2017 </w:t>
      </w:r>
      <w:r w:rsidR="00DE26F8">
        <w:rPr>
          <w:sz w:val="20"/>
          <w:szCs w:val="20"/>
        </w:rPr>
        <w:t>with</w:t>
      </w:r>
      <w:r>
        <w:rPr>
          <w:sz w:val="20"/>
          <w:szCs w:val="20"/>
        </w:rPr>
        <w:t xml:space="preserve"> solid financial and operational performance in the fourth quarter</w:t>
      </w:r>
      <w:r>
        <w:rPr>
          <w:sz w:val="20"/>
          <w:szCs w:val="20"/>
          <w:lang w:eastAsia="zh-CN"/>
        </w:rPr>
        <w:t xml:space="preserve">. </w:t>
      </w:r>
      <w:r w:rsidR="00121BEA">
        <w:rPr>
          <w:rFonts w:hint="eastAsia"/>
          <w:sz w:val="20"/>
          <w:szCs w:val="20"/>
          <w:lang w:eastAsia="zh-CN"/>
        </w:rPr>
        <w:t>This</w:t>
      </w:r>
      <w:r>
        <w:rPr>
          <w:sz w:val="20"/>
          <w:szCs w:val="20"/>
        </w:rPr>
        <w:t xml:space="preserve"> reflect</w:t>
      </w:r>
      <w:r>
        <w:rPr>
          <w:sz w:val="20"/>
          <w:szCs w:val="20"/>
          <w:lang w:eastAsia="zh-CN"/>
        </w:rPr>
        <w:t>s</w:t>
      </w:r>
      <w:r>
        <w:rPr>
          <w:sz w:val="20"/>
          <w:szCs w:val="20"/>
        </w:rPr>
        <w:t xml:space="preserve"> our commitment to quality education and to delivering the best </w:t>
      </w:r>
      <w:r>
        <w:rPr>
          <w:sz w:val="20"/>
          <w:szCs w:val="20"/>
          <w:lang w:eastAsia="zh-CN"/>
        </w:rPr>
        <w:t>English learning experience</w:t>
      </w:r>
      <w:r>
        <w:rPr>
          <w:sz w:val="20"/>
          <w:szCs w:val="20"/>
        </w:rPr>
        <w:t xml:space="preserve"> </w:t>
      </w:r>
      <w:r w:rsidR="00121BEA">
        <w:rPr>
          <w:rFonts w:hint="eastAsia"/>
          <w:sz w:val="20"/>
          <w:szCs w:val="20"/>
          <w:lang w:eastAsia="zh-CN"/>
        </w:rPr>
        <w:t>to</w:t>
      </w:r>
      <w:r w:rsidR="00121BEA">
        <w:rPr>
          <w:sz w:val="20"/>
          <w:szCs w:val="20"/>
        </w:rPr>
        <w:t xml:space="preserve"> </w:t>
      </w:r>
      <w:r>
        <w:rPr>
          <w:sz w:val="20"/>
          <w:szCs w:val="20"/>
        </w:rPr>
        <w:t>our students</w:t>
      </w:r>
      <w:r>
        <w:rPr>
          <w:sz w:val="20"/>
          <w:szCs w:val="20"/>
          <w:lang w:eastAsia="zh-CN"/>
        </w:rPr>
        <w:t>,</w:t>
      </w:r>
      <w:r>
        <w:rPr>
          <w:sz w:val="20"/>
          <w:szCs w:val="20"/>
        </w:rPr>
        <w:t>” stated Mr. Yiding Sun, Chief Executive Officer of RISE. “</w:t>
      </w:r>
      <w:r>
        <w:rPr>
          <w:sz w:val="20"/>
          <w:szCs w:val="20"/>
          <w:lang w:eastAsia="zh-CN"/>
        </w:rPr>
        <w:t>In the year 2017, w</w:t>
      </w:r>
      <w:r>
        <w:rPr>
          <w:sz w:val="20"/>
          <w:szCs w:val="20"/>
        </w:rPr>
        <w:t xml:space="preserve">e are delighted that </w:t>
      </w:r>
      <w:r>
        <w:rPr>
          <w:sz w:val="20"/>
          <w:szCs w:val="20"/>
          <w:lang w:eastAsia="zh-CN"/>
        </w:rPr>
        <w:t xml:space="preserve">total </w:t>
      </w:r>
      <w:r>
        <w:rPr>
          <w:sz w:val="20"/>
          <w:szCs w:val="20"/>
        </w:rPr>
        <w:t xml:space="preserve">student enrollment has gone up </w:t>
      </w:r>
      <w:r>
        <w:rPr>
          <w:sz w:val="20"/>
          <w:szCs w:val="20"/>
          <w:lang w:eastAsia="zh-CN"/>
        </w:rPr>
        <w:t>3</w:t>
      </w:r>
      <w:r w:rsidR="00F84F0B">
        <w:rPr>
          <w:rFonts w:hint="eastAsia"/>
          <w:sz w:val="20"/>
          <w:szCs w:val="20"/>
          <w:lang w:eastAsia="zh-CN"/>
        </w:rPr>
        <w:t>7.9</w:t>
      </w:r>
      <w:r>
        <w:rPr>
          <w:sz w:val="20"/>
          <w:szCs w:val="20"/>
        </w:rPr>
        <w:t xml:space="preserve">% </w:t>
      </w:r>
      <w:r>
        <w:rPr>
          <w:sz w:val="20"/>
          <w:szCs w:val="20"/>
          <w:lang w:eastAsia="zh-CN"/>
        </w:rPr>
        <w:t>to 49,</w:t>
      </w:r>
      <w:r w:rsidR="003E247C">
        <w:rPr>
          <w:rFonts w:hint="eastAsia"/>
          <w:sz w:val="20"/>
          <w:szCs w:val="20"/>
          <w:lang w:eastAsia="zh-CN"/>
        </w:rPr>
        <w:t>894</w:t>
      </w:r>
      <w:r>
        <w:rPr>
          <w:sz w:val="20"/>
          <w:szCs w:val="20"/>
          <w:lang w:eastAsia="zh-CN"/>
        </w:rPr>
        <w:t xml:space="preserve">, driven by our continuous center expansion. </w:t>
      </w:r>
      <w:r w:rsidR="00F65934">
        <w:rPr>
          <w:rFonts w:hint="eastAsia"/>
          <w:sz w:val="20"/>
          <w:szCs w:val="20"/>
          <w:lang w:eastAsia="zh-CN"/>
        </w:rPr>
        <w:t>D</w:t>
      </w:r>
      <w:r w:rsidR="00F65934">
        <w:rPr>
          <w:sz w:val="20"/>
          <w:szCs w:val="20"/>
        </w:rPr>
        <w:t>uring 2017</w:t>
      </w:r>
      <w:r w:rsidR="00F65934">
        <w:rPr>
          <w:rFonts w:hint="eastAsia"/>
          <w:sz w:val="20"/>
          <w:szCs w:val="20"/>
          <w:lang w:eastAsia="zh-CN"/>
        </w:rPr>
        <w:t>, w</w:t>
      </w:r>
      <w:r>
        <w:rPr>
          <w:sz w:val="20"/>
          <w:szCs w:val="20"/>
          <w:lang w:eastAsia="zh-CN"/>
        </w:rPr>
        <w:t xml:space="preserve">e added </w:t>
      </w:r>
      <w:r w:rsidR="00F65934">
        <w:rPr>
          <w:rFonts w:hint="eastAsia"/>
          <w:sz w:val="20"/>
          <w:szCs w:val="20"/>
          <w:lang w:eastAsia="zh-CN"/>
        </w:rPr>
        <w:t xml:space="preserve">a net of </w:t>
      </w:r>
      <w:r w:rsidR="00315A91">
        <w:rPr>
          <w:rFonts w:hint="eastAsia"/>
          <w:sz w:val="20"/>
          <w:szCs w:val="20"/>
          <w:lang w:eastAsia="zh-CN"/>
        </w:rPr>
        <w:t>ten</w:t>
      </w:r>
      <w:r w:rsidR="00315A91">
        <w:rPr>
          <w:sz w:val="20"/>
          <w:szCs w:val="20"/>
          <w:lang w:eastAsia="zh-CN"/>
        </w:rPr>
        <w:t xml:space="preserve"> </w:t>
      </w:r>
      <w:r>
        <w:rPr>
          <w:sz w:val="20"/>
          <w:szCs w:val="20"/>
        </w:rPr>
        <w:t xml:space="preserve">self-owned </w:t>
      </w:r>
      <w:r>
        <w:rPr>
          <w:sz w:val="20"/>
          <w:szCs w:val="20"/>
          <w:lang w:eastAsia="zh-CN"/>
        </w:rPr>
        <w:t xml:space="preserve">learning centers and </w:t>
      </w:r>
      <w:r>
        <w:rPr>
          <w:sz w:val="20"/>
          <w:szCs w:val="20"/>
        </w:rPr>
        <w:t>3</w:t>
      </w:r>
      <w:r>
        <w:rPr>
          <w:sz w:val="20"/>
          <w:szCs w:val="20"/>
          <w:lang w:eastAsia="zh-CN"/>
        </w:rPr>
        <w:t>9</w:t>
      </w:r>
      <w:r>
        <w:rPr>
          <w:sz w:val="20"/>
          <w:szCs w:val="20"/>
        </w:rPr>
        <w:t xml:space="preserve"> franchised learning centers, bringing the total number of learning centers in our network to </w:t>
      </w:r>
      <w:r>
        <w:rPr>
          <w:sz w:val="20"/>
          <w:szCs w:val="20"/>
          <w:lang w:eastAsia="zh-CN"/>
        </w:rPr>
        <w:t>270</w:t>
      </w:r>
      <w:r>
        <w:rPr>
          <w:sz w:val="20"/>
          <w:szCs w:val="20"/>
        </w:rPr>
        <w:t xml:space="preserve"> at the year</w:t>
      </w:r>
      <w:r w:rsidR="00DE26F8">
        <w:rPr>
          <w:sz w:val="20"/>
          <w:szCs w:val="20"/>
          <w:lang w:eastAsia="zh-CN"/>
        </w:rPr>
        <w:t>’</w:t>
      </w:r>
      <w:r w:rsidR="00DE26F8">
        <w:rPr>
          <w:rFonts w:hint="eastAsia"/>
          <w:sz w:val="20"/>
          <w:szCs w:val="20"/>
          <w:lang w:eastAsia="zh-CN"/>
        </w:rPr>
        <w:t>s</w:t>
      </w:r>
      <w:r>
        <w:rPr>
          <w:sz w:val="20"/>
          <w:szCs w:val="20"/>
        </w:rPr>
        <w:t xml:space="preserve"> end. Looking ahead into 2018, we remain committed to our expansion plans in </w:t>
      </w:r>
      <w:r w:rsidR="00DE3907">
        <w:rPr>
          <w:sz w:val="20"/>
          <w:szCs w:val="20"/>
        </w:rPr>
        <w:t xml:space="preserve">both </w:t>
      </w:r>
      <w:r>
        <w:rPr>
          <w:sz w:val="20"/>
          <w:szCs w:val="20"/>
        </w:rPr>
        <w:t>new centers and teachers</w:t>
      </w:r>
      <w:r>
        <w:rPr>
          <w:sz w:val="20"/>
          <w:szCs w:val="20"/>
          <w:lang w:eastAsia="zh-CN"/>
        </w:rPr>
        <w:t>,</w:t>
      </w:r>
      <w:r>
        <w:rPr>
          <w:sz w:val="20"/>
          <w:szCs w:val="20"/>
        </w:rPr>
        <w:t xml:space="preserve"> based on market demand, and</w:t>
      </w:r>
      <w:r w:rsidR="00851D7B">
        <w:rPr>
          <w:rFonts w:hint="eastAsia"/>
          <w:sz w:val="20"/>
          <w:szCs w:val="20"/>
          <w:lang w:eastAsia="zh-CN"/>
        </w:rPr>
        <w:t xml:space="preserve"> to</w:t>
      </w:r>
      <w:r>
        <w:rPr>
          <w:sz w:val="20"/>
          <w:szCs w:val="20"/>
        </w:rPr>
        <w:t xml:space="preserve"> closely monitor</w:t>
      </w:r>
      <w:r w:rsidR="00CF6C3D">
        <w:rPr>
          <w:rFonts w:hint="eastAsia"/>
          <w:sz w:val="20"/>
          <w:szCs w:val="20"/>
          <w:lang w:eastAsia="zh-CN"/>
        </w:rPr>
        <w:t>ing</w:t>
      </w:r>
      <w:r>
        <w:rPr>
          <w:sz w:val="20"/>
          <w:szCs w:val="20"/>
        </w:rPr>
        <w:t xml:space="preserve"> the operation of newly opened centers. At the same time, we </w:t>
      </w:r>
      <w:r w:rsidR="00CF6C3D">
        <w:rPr>
          <w:rFonts w:hint="eastAsia"/>
          <w:sz w:val="20"/>
          <w:szCs w:val="20"/>
          <w:lang w:eastAsia="zh-CN"/>
        </w:rPr>
        <w:t xml:space="preserve">will </w:t>
      </w:r>
      <w:r>
        <w:rPr>
          <w:sz w:val="20"/>
          <w:szCs w:val="20"/>
        </w:rPr>
        <w:t xml:space="preserve">continue our unwavering focus on providing uniformly high quality education services across our entire education network. </w:t>
      </w:r>
      <w:r>
        <w:rPr>
          <w:sz w:val="20"/>
          <w:szCs w:val="20"/>
          <w:lang w:eastAsia="zh-CN"/>
        </w:rPr>
        <w:t>In 2017, w</w:t>
      </w:r>
      <w:r>
        <w:rPr>
          <w:sz w:val="20"/>
          <w:szCs w:val="20"/>
        </w:rPr>
        <w:t>e</w:t>
      </w:r>
      <w:r>
        <w:rPr>
          <w:sz w:val="20"/>
          <w:szCs w:val="20"/>
          <w:lang w:eastAsia="zh-CN"/>
        </w:rPr>
        <w:t xml:space="preserve"> upgraded </w:t>
      </w:r>
      <w:r w:rsidR="00851D7B">
        <w:rPr>
          <w:rFonts w:hint="eastAsia"/>
          <w:sz w:val="20"/>
          <w:szCs w:val="20"/>
          <w:lang w:eastAsia="zh-CN"/>
        </w:rPr>
        <w:t xml:space="preserve">our </w:t>
      </w:r>
      <w:r>
        <w:rPr>
          <w:sz w:val="20"/>
          <w:szCs w:val="20"/>
          <w:lang w:eastAsia="zh-CN"/>
        </w:rPr>
        <w:t>Rise Up courseware, extending</w:t>
      </w:r>
      <w:r>
        <w:rPr>
          <w:sz w:val="20"/>
          <w:szCs w:val="20"/>
        </w:rPr>
        <w:t xml:space="preserve"> our </w:t>
      </w:r>
      <w:r>
        <w:rPr>
          <w:sz w:val="20"/>
          <w:szCs w:val="20"/>
          <w:lang w:eastAsia="zh-CN"/>
        </w:rPr>
        <w:t>service</w:t>
      </w:r>
      <w:r>
        <w:rPr>
          <w:sz w:val="20"/>
          <w:szCs w:val="20"/>
        </w:rPr>
        <w:t xml:space="preserve"> offerings </w:t>
      </w:r>
      <w:r>
        <w:rPr>
          <w:sz w:val="20"/>
          <w:szCs w:val="20"/>
          <w:lang w:eastAsia="zh-CN"/>
        </w:rPr>
        <w:t xml:space="preserve">to </w:t>
      </w:r>
      <w:r w:rsidR="00DE26F8">
        <w:rPr>
          <w:rFonts w:hint="eastAsia"/>
          <w:sz w:val="20"/>
          <w:szCs w:val="20"/>
          <w:lang w:eastAsia="zh-CN"/>
        </w:rPr>
        <w:t xml:space="preserve">the </w:t>
      </w:r>
      <w:r>
        <w:rPr>
          <w:sz w:val="20"/>
          <w:szCs w:val="20"/>
          <w:lang w:eastAsia="zh-CN"/>
        </w:rPr>
        <w:t xml:space="preserve">entire K-12 student group, covering </w:t>
      </w:r>
      <w:r w:rsidR="00DE26F8">
        <w:rPr>
          <w:rFonts w:hint="eastAsia"/>
          <w:sz w:val="20"/>
          <w:szCs w:val="20"/>
          <w:lang w:eastAsia="zh-CN"/>
        </w:rPr>
        <w:t>students</w:t>
      </w:r>
      <w:r w:rsidR="00DE26F8">
        <w:rPr>
          <w:sz w:val="20"/>
          <w:szCs w:val="20"/>
          <w:lang w:eastAsia="zh-CN"/>
        </w:rPr>
        <w:t xml:space="preserve"> </w:t>
      </w:r>
      <w:r>
        <w:rPr>
          <w:sz w:val="20"/>
          <w:szCs w:val="20"/>
        </w:rPr>
        <w:t>age</w:t>
      </w:r>
      <w:r>
        <w:rPr>
          <w:sz w:val="20"/>
          <w:szCs w:val="20"/>
          <w:lang w:eastAsia="zh-CN"/>
        </w:rPr>
        <w:t>d</w:t>
      </w:r>
      <w:r>
        <w:rPr>
          <w:sz w:val="20"/>
          <w:szCs w:val="20"/>
        </w:rPr>
        <w:t xml:space="preserve"> </w:t>
      </w:r>
      <w:r w:rsidR="00CF6C3D">
        <w:rPr>
          <w:rFonts w:hint="eastAsia"/>
          <w:sz w:val="20"/>
          <w:szCs w:val="20"/>
          <w:lang w:eastAsia="zh-CN"/>
        </w:rPr>
        <w:t>three</w:t>
      </w:r>
      <w:r w:rsidR="00CF6C3D">
        <w:rPr>
          <w:sz w:val="20"/>
          <w:szCs w:val="20"/>
        </w:rPr>
        <w:t xml:space="preserve"> </w:t>
      </w:r>
      <w:r>
        <w:rPr>
          <w:sz w:val="20"/>
          <w:szCs w:val="20"/>
        </w:rPr>
        <w:t xml:space="preserve">to </w:t>
      </w:r>
      <w:r w:rsidR="00CF6C3D">
        <w:rPr>
          <w:rFonts w:hint="eastAsia"/>
          <w:sz w:val="20"/>
          <w:szCs w:val="20"/>
          <w:lang w:eastAsia="zh-CN"/>
        </w:rPr>
        <w:t>18</w:t>
      </w:r>
      <w:r w:rsidR="0041570D">
        <w:rPr>
          <w:rFonts w:hint="eastAsia"/>
          <w:sz w:val="20"/>
          <w:szCs w:val="20"/>
          <w:lang w:eastAsia="zh-CN"/>
        </w:rPr>
        <w:t>,</w:t>
      </w:r>
      <w:r w:rsidR="00CF6C3D">
        <w:rPr>
          <w:sz w:val="20"/>
          <w:szCs w:val="20"/>
          <w:lang w:eastAsia="zh-CN"/>
        </w:rPr>
        <w:t xml:space="preserve"> </w:t>
      </w:r>
      <w:r>
        <w:rPr>
          <w:sz w:val="20"/>
          <w:szCs w:val="20"/>
          <w:lang w:eastAsia="zh-CN"/>
        </w:rPr>
        <w:t>both online and offline</w:t>
      </w:r>
      <w:r>
        <w:rPr>
          <w:sz w:val="20"/>
          <w:szCs w:val="20"/>
        </w:rPr>
        <w:t xml:space="preserve">. With our leading service quality, our premium branding power, and effective development strategies, we are confident that we will continue to solidify our </w:t>
      </w:r>
      <w:r w:rsidR="00DE26F8">
        <w:rPr>
          <w:sz w:val="20"/>
          <w:szCs w:val="20"/>
        </w:rPr>
        <w:t>lead</w:t>
      </w:r>
      <w:r w:rsidR="00DE26F8">
        <w:rPr>
          <w:rFonts w:hint="eastAsia"/>
          <w:sz w:val="20"/>
          <w:szCs w:val="20"/>
          <w:lang w:eastAsia="zh-CN"/>
        </w:rPr>
        <w:t>ing</w:t>
      </w:r>
      <w:r w:rsidR="00DE26F8">
        <w:rPr>
          <w:sz w:val="20"/>
          <w:szCs w:val="20"/>
        </w:rPr>
        <w:t xml:space="preserve"> </w:t>
      </w:r>
      <w:r>
        <w:rPr>
          <w:sz w:val="20"/>
          <w:szCs w:val="20"/>
        </w:rPr>
        <w:t xml:space="preserve">position in the junior ELT market in China.”  </w:t>
      </w:r>
    </w:p>
    <w:p w:rsidR="00DB45EC" w:rsidRPr="00BC481B" w:rsidRDefault="00592C21" w:rsidP="000C64FD">
      <w:pPr>
        <w:pStyle w:val="a3"/>
        <w:rPr>
          <w:lang w:eastAsia="zh-CN"/>
        </w:rPr>
        <w:sectPr w:rsidR="00DB45EC" w:rsidRPr="00BC481B" w:rsidSect="003820E2">
          <w:footerReference w:type="default" r:id="rId8"/>
          <w:type w:val="continuous"/>
          <w:pgSz w:w="12240" w:h="15840"/>
          <w:pgMar w:top="720" w:right="720" w:bottom="720" w:left="720" w:header="720" w:footer="1512" w:gutter="0"/>
          <w:cols w:space="720"/>
          <w:docGrid w:linePitch="360"/>
        </w:sectPr>
      </w:pPr>
      <w:r>
        <w:rPr>
          <w:sz w:val="20"/>
          <w:szCs w:val="20"/>
        </w:rPr>
        <w:t xml:space="preserve">Ms. Chelsea Wang, Chief Financial Officer of RISE, stated, “We are </w:t>
      </w:r>
      <w:r>
        <w:rPr>
          <w:sz w:val="20"/>
          <w:szCs w:val="20"/>
          <w:lang w:eastAsia="zh-CN"/>
        </w:rPr>
        <w:t>delighted</w:t>
      </w:r>
      <w:r w:rsidR="005907C4">
        <w:rPr>
          <w:rFonts w:hint="eastAsia"/>
          <w:sz w:val="20"/>
          <w:szCs w:val="20"/>
          <w:lang w:eastAsia="zh-CN"/>
        </w:rPr>
        <w:t xml:space="preserve"> </w:t>
      </w:r>
      <w:r>
        <w:rPr>
          <w:sz w:val="20"/>
          <w:szCs w:val="20"/>
        </w:rPr>
        <w:t xml:space="preserve">with the financial results that we achieved in the fourth quarter </w:t>
      </w:r>
      <w:r>
        <w:rPr>
          <w:sz w:val="20"/>
          <w:szCs w:val="20"/>
          <w:lang w:eastAsia="zh-CN"/>
        </w:rPr>
        <w:t>and full year</w:t>
      </w:r>
      <w:r>
        <w:rPr>
          <w:sz w:val="20"/>
          <w:szCs w:val="20"/>
        </w:rPr>
        <w:t xml:space="preserve"> </w:t>
      </w:r>
      <w:r w:rsidR="00CF6C3D">
        <w:rPr>
          <w:rFonts w:hint="eastAsia"/>
          <w:sz w:val="20"/>
          <w:szCs w:val="20"/>
          <w:lang w:eastAsia="zh-CN"/>
        </w:rPr>
        <w:t xml:space="preserve">of </w:t>
      </w:r>
      <w:r>
        <w:rPr>
          <w:sz w:val="20"/>
          <w:szCs w:val="20"/>
        </w:rPr>
        <w:t xml:space="preserve">2017. Our total revenues increased </w:t>
      </w:r>
      <w:r w:rsidR="0047065D">
        <w:rPr>
          <w:sz w:val="20"/>
          <w:szCs w:val="20"/>
        </w:rPr>
        <w:t>year-over-year</w:t>
      </w:r>
      <w:r w:rsidR="00631F0A">
        <w:rPr>
          <w:sz w:val="20"/>
          <w:szCs w:val="20"/>
        </w:rPr>
        <w:t xml:space="preserve"> </w:t>
      </w:r>
      <w:r>
        <w:rPr>
          <w:sz w:val="20"/>
          <w:szCs w:val="20"/>
        </w:rPr>
        <w:t>by 40.</w:t>
      </w:r>
      <w:r>
        <w:rPr>
          <w:sz w:val="20"/>
          <w:szCs w:val="20"/>
          <w:lang w:eastAsia="zh-CN"/>
        </w:rPr>
        <w:t>8</w:t>
      </w:r>
      <w:r>
        <w:rPr>
          <w:sz w:val="20"/>
          <w:szCs w:val="20"/>
        </w:rPr>
        <w:t xml:space="preserve">% </w:t>
      </w:r>
      <w:r w:rsidR="00631F0A">
        <w:rPr>
          <w:rFonts w:hint="eastAsia"/>
          <w:sz w:val="20"/>
          <w:szCs w:val="20"/>
          <w:lang w:eastAsia="zh-CN"/>
        </w:rPr>
        <w:t xml:space="preserve">and 36.3% </w:t>
      </w:r>
      <w:r>
        <w:rPr>
          <w:sz w:val="20"/>
          <w:szCs w:val="20"/>
        </w:rPr>
        <w:t xml:space="preserve">in the fourth quarter </w:t>
      </w:r>
      <w:r w:rsidR="00631F0A">
        <w:rPr>
          <w:rFonts w:hint="eastAsia"/>
          <w:sz w:val="20"/>
          <w:szCs w:val="20"/>
          <w:lang w:eastAsia="zh-CN"/>
        </w:rPr>
        <w:t>and full year</w:t>
      </w:r>
      <w:r>
        <w:rPr>
          <w:sz w:val="20"/>
          <w:szCs w:val="20"/>
        </w:rPr>
        <w:t xml:space="preserve"> </w:t>
      </w:r>
      <w:r w:rsidR="00CF6C3D">
        <w:rPr>
          <w:rFonts w:hint="eastAsia"/>
          <w:sz w:val="20"/>
          <w:szCs w:val="20"/>
          <w:lang w:eastAsia="zh-CN"/>
        </w:rPr>
        <w:t xml:space="preserve">of </w:t>
      </w:r>
      <w:r>
        <w:rPr>
          <w:sz w:val="20"/>
          <w:szCs w:val="20"/>
        </w:rPr>
        <w:t>2017</w:t>
      </w:r>
      <w:r w:rsidR="00631F0A">
        <w:rPr>
          <w:rFonts w:hint="eastAsia"/>
          <w:sz w:val="20"/>
          <w:szCs w:val="20"/>
          <w:lang w:eastAsia="zh-CN"/>
        </w:rPr>
        <w:t>, respectively</w:t>
      </w:r>
      <w:r>
        <w:rPr>
          <w:sz w:val="20"/>
          <w:szCs w:val="20"/>
        </w:rPr>
        <w:t xml:space="preserve">. </w:t>
      </w:r>
      <w:r w:rsidR="008F5E4B">
        <w:rPr>
          <w:sz w:val="20"/>
          <w:szCs w:val="20"/>
        </w:rPr>
        <w:t>Th</w:t>
      </w:r>
      <w:r w:rsidR="008F5E4B">
        <w:rPr>
          <w:rFonts w:hint="eastAsia"/>
          <w:sz w:val="20"/>
          <w:szCs w:val="20"/>
          <w:lang w:eastAsia="zh-CN"/>
        </w:rPr>
        <w:t>e</w:t>
      </w:r>
      <w:r w:rsidR="008F5E4B">
        <w:rPr>
          <w:sz w:val="20"/>
          <w:szCs w:val="20"/>
        </w:rPr>
        <w:t>s</w:t>
      </w:r>
      <w:r w:rsidR="008F5E4B">
        <w:rPr>
          <w:rFonts w:hint="eastAsia"/>
          <w:sz w:val="20"/>
          <w:szCs w:val="20"/>
          <w:lang w:eastAsia="zh-CN"/>
        </w:rPr>
        <w:t>e</w:t>
      </w:r>
      <w:r w:rsidR="008F5E4B">
        <w:rPr>
          <w:sz w:val="20"/>
          <w:szCs w:val="20"/>
        </w:rPr>
        <w:t xml:space="preserve"> w</w:t>
      </w:r>
      <w:r w:rsidR="008F5E4B">
        <w:rPr>
          <w:rFonts w:hint="eastAsia"/>
          <w:sz w:val="20"/>
          <w:szCs w:val="20"/>
          <w:lang w:eastAsia="zh-CN"/>
        </w:rPr>
        <w:t>ere</w:t>
      </w:r>
      <w:r w:rsidR="008F5E4B">
        <w:rPr>
          <w:sz w:val="20"/>
          <w:szCs w:val="20"/>
        </w:rPr>
        <w:t xml:space="preserve"> </w:t>
      </w:r>
      <w:r>
        <w:rPr>
          <w:sz w:val="20"/>
          <w:szCs w:val="20"/>
        </w:rPr>
        <w:t xml:space="preserve">driven by a </w:t>
      </w:r>
      <w:r w:rsidR="008F5E4B">
        <w:rPr>
          <w:rFonts w:hint="eastAsia"/>
          <w:sz w:val="20"/>
          <w:szCs w:val="20"/>
          <w:lang w:eastAsia="zh-CN"/>
        </w:rPr>
        <w:t>34.4</w:t>
      </w:r>
      <w:r>
        <w:rPr>
          <w:sz w:val="20"/>
          <w:szCs w:val="20"/>
        </w:rPr>
        <w:t xml:space="preserve">% </w:t>
      </w:r>
      <w:r w:rsidR="0047065D">
        <w:rPr>
          <w:rFonts w:hint="eastAsia"/>
          <w:sz w:val="20"/>
          <w:szCs w:val="20"/>
          <w:lang w:eastAsia="zh-CN"/>
        </w:rPr>
        <w:t>year-over-year</w:t>
      </w:r>
      <w:r w:rsidR="00DE26F8">
        <w:rPr>
          <w:rFonts w:hint="eastAsia"/>
          <w:sz w:val="20"/>
          <w:szCs w:val="20"/>
          <w:lang w:eastAsia="zh-CN"/>
        </w:rPr>
        <w:t xml:space="preserve"> </w:t>
      </w:r>
      <w:r>
        <w:rPr>
          <w:sz w:val="20"/>
          <w:szCs w:val="20"/>
        </w:rPr>
        <w:t xml:space="preserve">increase in revenues from our educational programs, a </w:t>
      </w:r>
      <w:r w:rsidR="008F5E4B">
        <w:rPr>
          <w:rFonts w:hint="eastAsia"/>
          <w:sz w:val="20"/>
          <w:szCs w:val="20"/>
          <w:lang w:eastAsia="zh-CN"/>
        </w:rPr>
        <w:t>3</w:t>
      </w:r>
      <w:r w:rsidR="00CE5BDE">
        <w:rPr>
          <w:rFonts w:hint="eastAsia"/>
          <w:sz w:val="20"/>
          <w:szCs w:val="20"/>
          <w:lang w:eastAsia="zh-CN"/>
        </w:rPr>
        <w:t>6.7</w:t>
      </w:r>
      <w:r>
        <w:rPr>
          <w:sz w:val="20"/>
          <w:szCs w:val="20"/>
        </w:rPr>
        <w:t xml:space="preserve">% </w:t>
      </w:r>
      <w:r w:rsidR="0047065D">
        <w:rPr>
          <w:sz w:val="20"/>
          <w:szCs w:val="20"/>
        </w:rPr>
        <w:t>year-over-year</w:t>
      </w:r>
      <w:r>
        <w:rPr>
          <w:sz w:val="20"/>
          <w:szCs w:val="20"/>
        </w:rPr>
        <w:t xml:space="preserve"> increase in student enrollment</w:t>
      </w:r>
      <w:r w:rsidR="00000E06">
        <w:rPr>
          <w:rFonts w:hint="eastAsia"/>
          <w:sz w:val="20"/>
          <w:szCs w:val="20"/>
          <w:lang w:eastAsia="zh-CN"/>
        </w:rPr>
        <w:t>s</w:t>
      </w:r>
      <w:r>
        <w:rPr>
          <w:sz w:val="20"/>
          <w:szCs w:val="20"/>
        </w:rPr>
        <w:t>, and a high student retention rate</w:t>
      </w:r>
      <w:r w:rsidR="00851D7B">
        <w:rPr>
          <w:rFonts w:hint="eastAsia"/>
          <w:sz w:val="20"/>
          <w:szCs w:val="20"/>
          <w:lang w:eastAsia="zh-CN"/>
        </w:rPr>
        <w:t>,</w:t>
      </w:r>
      <w:r>
        <w:rPr>
          <w:sz w:val="20"/>
          <w:szCs w:val="20"/>
        </w:rPr>
        <w:t xml:space="preserve"> which remained stable at 70% in 2017.</w:t>
      </w:r>
      <w:r w:rsidR="00631F0A">
        <w:rPr>
          <w:sz w:val="20"/>
          <w:szCs w:val="20"/>
          <w:lang w:eastAsia="zh-CN"/>
        </w:rPr>
        <w:t xml:space="preserve"> </w:t>
      </w:r>
      <w:r w:rsidR="00631F0A">
        <w:rPr>
          <w:rFonts w:hint="eastAsia"/>
          <w:sz w:val="20"/>
          <w:szCs w:val="20"/>
          <w:lang w:eastAsia="zh-CN"/>
        </w:rPr>
        <w:t>N</w:t>
      </w:r>
      <w:r w:rsidR="00145349">
        <w:rPr>
          <w:sz w:val="20"/>
          <w:szCs w:val="20"/>
        </w:rPr>
        <w:t>on-GAAP</w:t>
      </w:r>
      <w:r>
        <w:rPr>
          <w:sz w:val="20"/>
          <w:szCs w:val="20"/>
        </w:rPr>
        <w:t xml:space="preserve"> net income</w:t>
      </w:r>
      <w:r w:rsidR="00BB6879">
        <w:rPr>
          <w:rFonts w:hint="eastAsia"/>
          <w:sz w:val="20"/>
          <w:szCs w:val="20"/>
          <w:lang w:eastAsia="zh-CN"/>
        </w:rPr>
        <w:t xml:space="preserve"> in the fourth quarter and full year </w:t>
      </w:r>
      <w:r w:rsidR="00CF6C3D">
        <w:rPr>
          <w:rFonts w:hint="eastAsia"/>
          <w:sz w:val="20"/>
          <w:szCs w:val="20"/>
          <w:lang w:eastAsia="zh-CN"/>
        </w:rPr>
        <w:t xml:space="preserve">of </w:t>
      </w:r>
      <w:r w:rsidR="00BB6879">
        <w:rPr>
          <w:rFonts w:hint="eastAsia"/>
          <w:sz w:val="20"/>
          <w:szCs w:val="20"/>
          <w:lang w:eastAsia="zh-CN"/>
        </w:rPr>
        <w:t>2017</w:t>
      </w:r>
      <w:r w:rsidR="00E82F1B">
        <w:rPr>
          <w:rFonts w:hint="eastAsia"/>
          <w:sz w:val="20"/>
          <w:szCs w:val="20"/>
          <w:lang w:eastAsia="zh-CN"/>
        </w:rPr>
        <w:t xml:space="preserve"> </w:t>
      </w:r>
      <w:r w:rsidR="00BB6879">
        <w:rPr>
          <w:rFonts w:hint="eastAsia"/>
          <w:sz w:val="20"/>
          <w:szCs w:val="20"/>
          <w:lang w:eastAsia="zh-CN"/>
        </w:rPr>
        <w:t>were</w:t>
      </w:r>
      <w:r w:rsidR="00000E06">
        <w:rPr>
          <w:rFonts w:hint="eastAsia"/>
          <w:sz w:val="20"/>
          <w:szCs w:val="20"/>
          <w:lang w:eastAsia="zh-CN"/>
        </w:rPr>
        <w:t xml:space="preserve"> </w:t>
      </w:r>
      <w:r w:rsidR="00000E06" w:rsidRPr="00E1212A">
        <w:rPr>
          <w:rFonts w:hint="eastAsia"/>
          <w:sz w:val="20"/>
          <w:szCs w:val="20"/>
          <w:lang w:eastAsia="zh-CN"/>
        </w:rPr>
        <w:t xml:space="preserve">RMB </w:t>
      </w:r>
      <w:r w:rsidR="00ED2041" w:rsidRPr="00BB6879">
        <w:rPr>
          <w:sz w:val="20"/>
          <w:szCs w:val="20"/>
          <w:lang w:eastAsia="zh-CN"/>
        </w:rPr>
        <w:t>28.6</w:t>
      </w:r>
      <w:r w:rsidR="00000E06">
        <w:rPr>
          <w:rFonts w:hint="eastAsia"/>
          <w:sz w:val="20"/>
          <w:szCs w:val="20"/>
          <w:lang w:eastAsia="zh-CN"/>
        </w:rPr>
        <w:t xml:space="preserve"> million</w:t>
      </w:r>
      <w:r w:rsidR="00631F0A">
        <w:rPr>
          <w:rFonts w:hint="eastAsia"/>
          <w:sz w:val="20"/>
          <w:szCs w:val="20"/>
          <w:lang w:eastAsia="zh-CN"/>
        </w:rPr>
        <w:t xml:space="preserve"> </w:t>
      </w:r>
      <w:r w:rsidR="00BB6879">
        <w:rPr>
          <w:rFonts w:hint="eastAsia"/>
          <w:sz w:val="20"/>
          <w:szCs w:val="20"/>
          <w:lang w:eastAsia="zh-CN"/>
        </w:rPr>
        <w:t xml:space="preserve">and RMB 122.3 million, </w:t>
      </w:r>
      <w:r w:rsidR="00631F0A">
        <w:rPr>
          <w:rFonts w:hint="eastAsia"/>
          <w:sz w:val="20"/>
          <w:szCs w:val="20"/>
          <w:lang w:eastAsia="zh-CN"/>
        </w:rPr>
        <w:t>up by</w:t>
      </w:r>
      <w:r w:rsidR="003E247C">
        <w:rPr>
          <w:rFonts w:hint="eastAsia"/>
          <w:sz w:val="20"/>
          <w:szCs w:val="20"/>
          <w:lang w:eastAsia="zh-CN"/>
        </w:rPr>
        <w:t xml:space="preserve"> </w:t>
      </w:r>
      <w:r w:rsidR="002A5733">
        <w:rPr>
          <w:rFonts w:hint="eastAsia"/>
          <w:sz w:val="20"/>
          <w:szCs w:val="20"/>
          <w:lang w:eastAsia="zh-CN"/>
        </w:rPr>
        <w:t>403.8%</w:t>
      </w:r>
      <w:r w:rsidR="00BB6879">
        <w:rPr>
          <w:rFonts w:hint="eastAsia"/>
          <w:sz w:val="20"/>
          <w:szCs w:val="20"/>
          <w:lang w:eastAsia="zh-CN"/>
        </w:rPr>
        <w:t xml:space="preserve"> and 140.6%, respectively</w:t>
      </w:r>
      <w:r w:rsidR="00CF6C3D">
        <w:rPr>
          <w:rFonts w:hint="eastAsia"/>
          <w:sz w:val="20"/>
          <w:szCs w:val="20"/>
          <w:lang w:eastAsia="zh-CN"/>
        </w:rPr>
        <w:t>, comparing to the same period of the prior year</w:t>
      </w:r>
      <w:r>
        <w:rPr>
          <w:sz w:val="20"/>
          <w:szCs w:val="20"/>
        </w:rPr>
        <w:t xml:space="preserve">. In addition, deferred revenue </w:t>
      </w:r>
      <w:r w:rsidR="00132235">
        <w:rPr>
          <w:sz w:val="20"/>
          <w:szCs w:val="20"/>
        </w:rPr>
        <w:t xml:space="preserve">and customer advances </w:t>
      </w:r>
      <w:r>
        <w:rPr>
          <w:sz w:val="20"/>
          <w:szCs w:val="20"/>
        </w:rPr>
        <w:t xml:space="preserve">increased </w:t>
      </w:r>
      <w:r>
        <w:rPr>
          <w:sz w:val="20"/>
          <w:szCs w:val="20"/>
          <w:lang w:eastAsia="zh-CN"/>
        </w:rPr>
        <w:t>by</w:t>
      </w:r>
      <w:r>
        <w:rPr>
          <w:sz w:val="20"/>
          <w:szCs w:val="20"/>
        </w:rPr>
        <w:t xml:space="preserve"> 35.</w:t>
      </w:r>
      <w:r w:rsidR="002A5733">
        <w:rPr>
          <w:rFonts w:hint="eastAsia"/>
          <w:sz w:val="20"/>
          <w:szCs w:val="20"/>
          <w:lang w:eastAsia="zh-CN"/>
        </w:rPr>
        <w:t>2</w:t>
      </w:r>
      <w:r>
        <w:rPr>
          <w:sz w:val="20"/>
          <w:szCs w:val="20"/>
        </w:rPr>
        <w:t xml:space="preserve">% </w:t>
      </w:r>
      <w:r w:rsidR="0047065D">
        <w:rPr>
          <w:sz w:val="20"/>
          <w:szCs w:val="20"/>
        </w:rPr>
        <w:t>year-over-year</w:t>
      </w:r>
      <w:r>
        <w:rPr>
          <w:sz w:val="20"/>
          <w:szCs w:val="20"/>
          <w:lang w:eastAsia="zh-CN"/>
        </w:rPr>
        <w:t xml:space="preserve"> </w:t>
      </w:r>
      <w:r w:rsidR="008F5E4B">
        <w:rPr>
          <w:rFonts w:hint="eastAsia"/>
          <w:sz w:val="20"/>
          <w:szCs w:val="20"/>
          <w:lang w:eastAsia="zh-CN"/>
        </w:rPr>
        <w:t>by the end of 2017</w:t>
      </w:r>
      <w:r>
        <w:rPr>
          <w:sz w:val="20"/>
          <w:szCs w:val="20"/>
        </w:rPr>
        <w:t xml:space="preserve">. </w:t>
      </w:r>
      <w:r>
        <w:rPr>
          <w:sz w:val="20"/>
          <w:szCs w:val="20"/>
          <w:lang w:eastAsia="zh-CN"/>
        </w:rPr>
        <w:t>Th</w:t>
      </w:r>
      <w:r w:rsidR="00DE26F8">
        <w:rPr>
          <w:rFonts w:hint="eastAsia"/>
          <w:sz w:val="20"/>
          <w:szCs w:val="20"/>
          <w:lang w:eastAsia="zh-CN"/>
        </w:rPr>
        <w:t>ese</w:t>
      </w:r>
      <w:r>
        <w:rPr>
          <w:sz w:val="20"/>
          <w:szCs w:val="20"/>
          <w:lang w:eastAsia="zh-CN"/>
        </w:rPr>
        <w:t xml:space="preserve"> numbers show our confidence</w:t>
      </w:r>
      <w:r>
        <w:rPr>
          <w:sz w:val="20"/>
          <w:szCs w:val="20"/>
        </w:rPr>
        <w:t xml:space="preserve"> that with our constantly improving economies of scale and </w:t>
      </w:r>
      <w:r>
        <w:rPr>
          <w:sz w:val="20"/>
          <w:szCs w:val="20"/>
          <w:lang w:eastAsia="zh-CN"/>
        </w:rPr>
        <w:t>the efficiency</w:t>
      </w:r>
      <w:r w:rsidR="003E247C">
        <w:rPr>
          <w:rFonts w:hint="eastAsia"/>
          <w:sz w:val="20"/>
          <w:szCs w:val="20"/>
          <w:lang w:eastAsia="zh-CN"/>
        </w:rPr>
        <w:t xml:space="preserve"> </w:t>
      </w:r>
      <w:r>
        <w:rPr>
          <w:sz w:val="20"/>
          <w:szCs w:val="20"/>
        </w:rPr>
        <w:t xml:space="preserve">of our network expansion, we </w:t>
      </w:r>
      <w:r>
        <w:rPr>
          <w:sz w:val="20"/>
          <w:szCs w:val="20"/>
          <w:lang w:eastAsia="zh-CN"/>
        </w:rPr>
        <w:t>are</w:t>
      </w:r>
      <w:r>
        <w:rPr>
          <w:sz w:val="20"/>
          <w:szCs w:val="20"/>
        </w:rPr>
        <w:t xml:space="preserve"> well positioned to capitalize on new opportunities in 2018.”</w:t>
      </w:r>
      <w:r w:rsidR="00BB6879" w:rsidRPr="00BC481B">
        <w:rPr>
          <w:rFonts w:hint="eastAsia"/>
          <w:sz w:val="20"/>
          <w:szCs w:val="20"/>
          <w:lang w:eastAsia="zh-CN"/>
        </w:rPr>
        <w:t xml:space="preserve"> </w:t>
      </w: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lastRenderedPageBreak/>
        <w:t>FOURTH QUARTER 2017 FINANCIAL RESULTS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Revenues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Total revenues for the fourth quarter of 2017 increased by RMB 7</w:t>
      </w:r>
      <w:r>
        <w:rPr>
          <w:sz w:val="20"/>
          <w:szCs w:val="20"/>
          <w:lang w:eastAsia="zh-CN"/>
        </w:rPr>
        <w:t>8.9</w:t>
      </w:r>
      <w:r>
        <w:rPr>
          <w:sz w:val="20"/>
          <w:szCs w:val="20"/>
        </w:rPr>
        <w:t xml:space="preserve"> million, or 40.</w:t>
      </w:r>
      <w:r>
        <w:rPr>
          <w:sz w:val="20"/>
          <w:szCs w:val="20"/>
          <w:lang w:eastAsia="zh-CN"/>
        </w:rPr>
        <w:t>8</w:t>
      </w:r>
      <w:r>
        <w:rPr>
          <w:sz w:val="20"/>
          <w:szCs w:val="20"/>
        </w:rPr>
        <w:t>%, to RMB 272.</w:t>
      </w:r>
      <w:r>
        <w:rPr>
          <w:sz w:val="20"/>
          <w:szCs w:val="20"/>
          <w:lang w:eastAsia="zh-CN"/>
        </w:rPr>
        <w:t>2</w:t>
      </w:r>
      <w:r>
        <w:rPr>
          <w:sz w:val="20"/>
          <w:szCs w:val="20"/>
        </w:rPr>
        <w:t xml:space="preserve"> million (US$ </w:t>
      </w:r>
      <w:r>
        <w:rPr>
          <w:sz w:val="20"/>
          <w:szCs w:val="20"/>
          <w:lang w:eastAsia="zh-CN"/>
        </w:rPr>
        <w:t>41.8</w:t>
      </w:r>
      <w:r>
        <w:rPr>
          <w:sz w:val="20"/>
          <w:szCs w:val="20"/>
        </w:rPr>
        <w:t xml:space="preserve"> million) from RMB 193.3 million in the same period of the prior year. This increase was primarily attributable to an increase of RMB 66.7 million in revenues from educational programs.</w:t>
      </w:r>
    </w:p>
    <w:p w:rsidR="008116AE" w:rsidRPr="00BC481B" w:rsidRDefault="008116AE" w:rsidP="00866CA8">
      <w:pPr>
        <w:pStyle w:val="a3"/>
        <w:spacing w:before="0" w:beforeAutospacing="0" w:after="0" w:afterAutospacing="0"/>
        <w:jc w:val="both"/>
        <w:divId w:val="1081558984"/>
        <w:rPr>
          <w:sz w:val="20"/>
          <w:szCs w:val="20"/>
        </w:rPr>
      </w:pPr>
    </w:p>
    <w:p w:rsidR="00390C09" w:rsidRPr="00BC481B" w:rsidRDefault="00592C21" w:rsidP="00390C09">
      <w:pPr>
        <w:pStyle w:val="a3"/>
        <w:numPr>
          <w:ilvl w:val="0"/>
          <w:numId w:val="4"/>
        </w:numPr>
        <w:spacing w:before="0" w:beforeAutospacing="0" w:after="0" w:afterAutospacing="0"/>
        <w:jc w:val="both"/>
        <w:divId w:val="1081558984"/>
        <w:rPr>
          <w:sz w:val="20"/>
          <w:szCs w:val="20"/>
        </w:rPr>
      </w:pPr>
      <w:r>
        <w:rPr>
          <w:rFonts w:eastAsia="Times New Roman"/>
          <w:sz w:val="20"/>
          <w:szCs w:val="20"/>
        </w:rPr>
        <w:t xml:space="preserve">Revenues from educational programs for the fourth quarter of 2017 increased by 36.4% to RMB 249.7 million (US$ </w:t>
      </w:r>
      <w:r>
        <w:rPr>
          <w:rFonts w:eastAsia="Times New Roman"/>
          <w:sz w:val="20"/>
          <w:szCs w:val="20"/>
          <w:lang w:eastAsia="zh-CN"/>
        </w:rPr>
        <w:t>38.4</w:t>
      </w:r>
      <w:r>
        <w:rPr>
          <w:rFonts w:eastAsia="Times New Roman"/>
          <w:sz w:val="20"/>
          <w:szCs w:val="20"/>
        </w:rPr>
        <w:t xml:space="preserve"> million) from RMB 183.0 million in the same period of the prior year. This increase was primarily due to an increase in student enrollment at self-owned learning centers in the </w:t>
      </w:r>
      <w:r w:rsidR="00DE26F8">
        <w:rPr>
          <w:rFonts w:eastAsia="Times New Roman" w:hint="eastAsia"/>
          <w:sz w:val="20"/>
          <w:szCs w:val="20"/>
          <w:lang w:eastAsia="zh-CN"/>
        </w:rPr>
        <w:t>fourth quarter</w:t>
      </w:r>
      <w:r>
        <w:rPr>
          <w:rFonts w:eastAsia="Times New Roman"/>
          <w:sz w:val="20"/>
          <w:szCs w:val="20"/>
        </w:rPr>
        <w:t xml:space="preserve">. The increase in the Company’s student enrollment was attributable to (i) higher student enrollment at existing learning centers as they matured and achieved a higher retention rate, which was partially driven by the Company’s established brand and growing offerings of reputable products; and (ii) the increase in the number of self-owned learning centers to </w:t>
      </w:r>
      <w:r w:rsidR="00C1671E" w:rsidRPr="00C1671E">
        <w:rPr>
          <w:rFonts w:eastAsia="Times New Roman"/>
          <w:sz w:val="20"/>
          <w:szCs w:val="20"/>
          <w:lang w:eastAsia="zh-CN"/>
        </w:rPr>
        <w:t>64</w:t>
      </w:r>
      <w:r w:rsidR="00C1671E" w:rsidRPr="00C1671E">
        <w:rPr>
          <w:rFonts w:eastAsia="Times New Roman"/>
          <w:sz w:val="20"/>
          <w:szCs w:val="20"/>
        </w:rPr>
        <w:t xml:space="preserve"> as of December 31, 2017</w:t>
      </w:r>
      <w:r w:rsidR="00851D7B">
        <w:rPr>
          <w:rFonts w:eastAsia="Times New Roman" w:hint="eastAsia"/>
          <w:sz w:val="20"/>
          <w:szCs w:val="20"/>
          <w:lang w:eastAsia="zh-CN"/>
        </w:rPr>
        <w:t>,</w:t>
      </w:r>
      <w:r w:rsidR="00C1671E" w:rsidRPr="00C1671E">
        <w:rPr>
          <w:rFonts w:eastAsia="Times New Roman"/>
          <w:sz w:val="20"/>
          <w:szCs w:val="20"/>
        </w:rPr>
        <w:t xml:space="preserve"> from </w:t>
      </w:r>
      <w:r w:rsidR="00C1671E" w:rsidRPr="00C1671E">
        <w:rPr>
          <w:rFonts w:eastAsia="Times New Roman"/>
          <w:sz w:val="20"/>
          <w:szCs w:val="20"/>
          <w:lang w:eastAsia="zh-CN"/>
        </w:rPr>
        <w:t>54</w:t>
      </w:r>
      <w:r w:rsidR="00C1671E" w:rsidRPr="00C1671E">
        <w:rPr>
          <w:rFonts w:eastAsia="Times New Roman"/>
          <w:sz w:val="20"/>
          <w:szCs w:val="20"/>
        </w:rPr>
        <w:t xml:space="preserve"> as of December 31, 2016</w:t>
      </w:r>
      <w:r w:rsidR="00F876CB">
        <w:rPr>
          <w:rFonts w:hint="eastAsia"/>
          <w:sz w:val="20"/>
          <w:szCs w:val="20"/>
          <w:lang w:eastAsia="zh-CN"/>
        </w:rPr>
        <w:t>; and (iii) higher course fees due to our annual price</w:t>
      </w:r>
      <w:r w:rsidR="00263256">
        <w:rPr>
          <w:rFonts w:hint="eastAsia"/>
          <w:sz w:val="20"/>
          <w:szCs w:val="20"/>
          <w:lang w:eastAsia="zh-CN"/>
        </w:rPr>
        <w:t xml:space="preserve"> increase</w:t>
      </w:r>
      <w:r w:rsidR="00F876CB">
        <w:rPr>
          <w:rFonts w:hint="eastAsia"/>
          <w:sz w:val="20"/>
          <w:szCs w:val="20"/>
          <w:lang w:eastAsia="zh-CN"/>
        </w:rPr>
        <w:t>.</w:t>
      </w:r>
    </w:p>
    <w:p w:rsidR="00390C09" w:rsidRPr="00BC481B" w:rsidRDefault="00390C09" w:rsidP="00390C09">
      <w:pPr>
        <w:pStyle w:val="a3"/>
        <w:spacing w:before="0" w:beforeAutospacing="0" w:after="0" w:afterAutospacing="0"/>
        <w:jc w:val="both"/>
        <w:divId w:val="1081558984"/>
        <w:rPr>
          <w:sz w:val="20"/>
          <w:szCs w:val="20"/>
        </w:rPr>
      </w:pPr>
    </w:p>
    <w:p w:rsidR="00390C09" w:rsidRPr="00BC481B" w:rsidRDefault="00592C21" w:rsidP="00390C09">
      <w:pPr>
        <w:pStyle w:val="a3"/>
        <w:numPr>
          <w:ilvl w:val="0"/>
          <w:numId w:val="4"/>
        </w:numPr>
        <w:spacing w:before="0" w:beforeAutospacing="0" w:after="0" w:afterAutospacing="0"/>
        <w:jc w:val="both"/>
        <w:divId w:val="1081558984"/>
        <w:rPr>
          <w:sz w:val="20"/>
          <w:szCs w:val="20"/>
        </w:rPr>
      </w:pPr>
      <w:r>
        <w:rPr>
          <w:sz w:val="20"/>
          <w:szCs w:val="20"/>
        </w:rPr>
        <w:t xml:space="preserve">Franchise revenues for the fourth quarter of 2017 increased by 69.9% to RMB 17.0million (US$ </w:t>
      </w:r>
      <w:r>
        <w:rPr>
          <w:sz w:val="20"/>
          <w:szCs w:val="20"/>
          <w:lang w:eastAsia="zh-CN"/>
        </w:rPr>
        <w:t>2.6</w:t>
      </w:r>
      <w:r>
        <w:rPr>
          <w:sz w:val="20"/>
          <w:szCs w:val="20"/>
        </w:rPr>
        <w:t xml:space="preserve"> million) from RMB 10.0 million in the same period of the prior year. This increase was primarily due to an increase in recurring franchise fees from the Company’s existing franchised learning centers, as well as an increase in initial and renewal franchise fees in the fourth quarter of 2017</w:t>
      </w:r>
      <w:r w:rsidR="00DE26F8" w:rsidRPr="00DE26F8">
        <w:rPr>
          <w:sz w:val="20"/>
          <w:szCs w:val="20"/>
        </w:rPr>
        <w:t xml:space="preserve"> </w:t>
      </w:r>
      <w:r w:rsidR="00DE26F8">
        <w:rPr>
          <w:sz w:val="20"/>
          <w:szCs w:val="20"/>
        </w:rPr>
        <w:t>for franchised learning centers that were either new or renewed their franchise agreement</w:t>
      </w:r>
      <w:r w:rsidR="000C64FD">
        <w:rPr>
          <w:rFonts w:hint="eastAsia"/>
          <w:sz w:val="20"/>
          <w:szCs w:val="20"/>
          <w:lang w:eastAsia="zh-CN"/>
        </w:rPr>
        <w:t>s</w:t>
      </w:r>
      <w:r w:rsidR="00DE26F8">
        <w:rPr>
          <w:sz w:val="20"/>
          <w:szCs w:val="20"/>
        </w:rPr>
        <w:t xml:space="preserve"> with </w:t>
      </w:r>
      <w:r w:rsidR="005005D3">
        <w:rPr>
          <w:rFonts w:hint="eastAsia"/>
          <w:sz w:val="20"/>
          <w:szCs w:val="20"/>
          <w:lang w:eastAsia="zh-CN"/>
        </w:rPr>
        <w:t>the Company</w:t>
      </w:r>
      <w:r>
        <w:rPr>
          <w:sz w:val="20"/>
          <w:szCs w:val="20"/>
        </w:rPr>
        <w:t>.</w:t>
      </w:r>
      <w:r w:rsidR="00390C09" w:rsidRPr="00BC481B">
        <w:rPr>
          <w:sz w:val="20"/>
          <w:szCs w:val="20"/>
        </w:rPr>
        <w:t xml:space="preserve"> The number of franchised learning centers increased to </w:t>
      </w:r>
      <w:r w:rsidR="00526F76" w:rsidRPr="00BC481B">
        <w:rPr>
          <w:rFonts w:hint="eastAsia"/>
          <w:sz w:val="20"/>
          <w:szCs w:val="20"/>
          <w:lang w:eastAsia="zh-CN"/>
        </w:rPr>
        <w:t>206</w:t>
      </w:r>
      <w:r w:rsidR="000C64FD">
        <w:rPr>
          <w:rFonts w:hint="eastAsia"/>
          <w:sz w:val="20"/>
          <w:szCs w:val="20"/>
          <w:lang w:eastAsia="zh-CN"/>
        </w:rPr>
        <w:t xml:space="preserve"> </w:t>
      </w:r>
      <w:r>
        <w:rPr>
          <w:sz w:val="20"/>
          <w:szCs w:val="20"/>
        </w:rPr>
        <w:t>as of December 31, 2017</w:t>
      </w:r>
      <w:r w:rsidR="00851D7B">
        <w:rPr>
          <w:rFonts w:hint="eastAsia"/>
          <w:sz w:val="20"/>
          <w:szCs w:val="20"/>
          <w:lang w:eastAsia="zh-CN"/>
        </w:rPr>
        <w:t>,</w:t>
      </w:r>
      <w:r>
        <w:rPr>
          <w:sz w:val="20"/>
          <w:szCs w:val="20"/>
        </w:rPr>
        <w:t xml:space="preserve"> from </w:t>
      </w:r>
      <w:r>
        <w:rPr>
          <w:sz w:val="20"/>
          <w:szCs w:val="20"/>
          <w:lang w:eastAsia="zh-CN"/>
        </w:rPr>
        <w:t>167</w:t>
      </w:r>
      <w:r>
        <w:rPr>
          <w:sz w:val="20"/>
          <w:szCs w:val="20"/>
        </w:rPr>
        <w:t xml:space="preserve"> as of December 31, 2016. </w:t>
      </w:r>
    </w:p>
    <w:p w:rsidR="00390C09" w:rsidRPr="00BC481B" w:rsidRDefault="00390C09" w:rsidP="00390C09">
      <w:pPr>
        <w:pStyle w:val="a3"/>
        <w:spacing w:before="0" w:beforeAutospacing="0" w:after="0" w:afterAutospacing="0"/>
        <w:jc w:val="both"/>
        <w:divId w:val="1081558984"/>
        <w:rPr>
          <w:sz w:val="20"/>
          <w:szCs w:val="20"/>
        </w:rPr>
      </w:pPr>
    </w:p>
    <w:p w:rsidR="00390C09" w:rsidRPr="00BC481B" w:rsidRDefault="00592C21" w:rsidP="00390C09">
      <w:pPr>
        <w:pStyle w:val="a3"/>
        <w:numPr>
          <w:ilvl w:val="0"/>
          <w:numId w:val="4"/>
        </w:numPr>
        <w:spacing w:before="0" w:beforeAutospacing="0" w:after="0" w:afterAutospacing="0"/>
        <w:jc w:val="both"/>
        <w:divId w:val="1081558984"/>
        <w:rPr>
          <w:sz w:val="20"/>
          <w:szCs w:val="20"/>
        </w:rPr>
      </w:pPr>
      <w:r>
        <w:rPr>
          <w:sz w:val="20"/>
          <w:szCs w:val="20"/>
        </w:rPr>
        <w:t>Other revenues for the fourth quarter of 2017 was RMB 5.</w:t>
      </w:r>
      <w:r>
        <w:rPr>
          <w:sz w:val="20"/>
          <w:szCs w:val="20"/>
          <w:lang w:eastAsia="zh-CN"/>
        </w:rPr>
        <w:t>4</w:t>
      </w:r>
      <w:r>
        <w:rPr>
          <w:sz w:val="20"/>
          <w:szCs w:val="20"/>
        </w:rPr>
        <w:t xml:space="preserve"> million (US$ </w:t>
      </w:r>
      <w:r>
        <w:rPr>
          <w:sz w:val="20"/>
          <w:szCs w:val="20"/>
          <w:lang w:eastAsia="zh-CN"/>
        </w:rPr>
        <w:t>0.8</w:t>
      </w:r>
      <w:r>
        <w:rPr>
          <w:sz w:val="20"/>
          <w:szCs w:val="20"/>
        </w:rPr>
        <w:t xml:space="preserve"> million) compared to RMB 0.2 million in the same period of the prior year. The increase was primarily due to an increase in revenues from </w:t>
      </w:r>
      <w:r w:rsidR="00526F76" w:rsidRPr="00BC481B">
        <w:rPr>
          <w:rFonts w:hint="eastAsia"/>
          <w:sz w:val="20"/>
          <w:szCs w:val="20"/>
          <w:lang w:eastAsia="zh-CN"/>
        </w:rPr>
        <w:t xml:space="preserve">The Edge, the company acquired in the </w:t>
      </w:r>
      <w:r>
        <w:rPr>
          <w:sz w:val="20"/>
          <w:szCs w:val="20"/>
          <w:lang w:eastAsia="zh-CN"/>
        </w:rPr>
        <w:t>fourth quarter of 2017.</w:t>
      </w:r>
    </w:p>
    <w:p w:rsidR="00FB2F06" w:rsidRPr="00BC481B" w:rsidRDefault="00FB2F06" w:rsidP="00390C09">
      <w:pPr>
        <w:pStyle w:val="a3"/>
        <w:spacing w:before="0" w:beforeAutospacing="0" w:after="0" w:afterAutospacing="0"/>
        <w:jc w:val="both"/>
        <w:divId w:val="1081558984"/>
        <w:rPr>
          <w:sz w:val="20"/>
          <w:szCs w:val="20"/>
        </w:rPr>
      </w:pPr>
    </w:p>
    <w:p w:rsidR="00FB2F06" w:rsidRPr="00BC481B" w:rsidRDefault="00592C21" w:rsidP="00390C09">
      <w:pPr>
        <w:pStyle w:val="a3"/>
        <w:spacing w:before="0" w:beforeAutospacing="0" w:after="0" w:afterAutospacing="0"/>
        <w:jc w:val="both"/>
        <w:divId w:val="1081558984"/>
        <w:rPr>
          <w:sz w:val="20"/>
          <w:szCs w:val="20"/>
        </w:rPr>
      </w:pPr>
      <w:r>
        <w:rPr>
          <w:b/>
          <w:bCs/>
          <w:sz w:val="20"/>
          <w:szCs w:val="20"/>
        </w:rPr>
        <w:t>Cost of Revenues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Cost of revenues for the fourth quarter of 2017 increased by RMB 3</w:t>
      </w:r>
      <w:r>
        <w:rPr>
          <w:sz w:val="20"/>
          <w:szCs w:val="20"/>
          <w:lang w:eastAsia="zh-CN"/>
        </w:rPr>
        <w:t>6.9</w:t>
      </w:r>
      <w:r w:rsidR="000C64FD">
        <w:rPr>
          <w:rFonts w:hint="eastAsia"/>
          <w:sz w:val="20"/>
          <w:szCs w:val="20"/>
          <w:lang w:eastAsia="zh-CN"/>
        </w:rPr>
        <w:t xml:space="preserve"> </w:t>
      </w:r>
      <w:r>
        <w:rPr>
          <w:sz w:val="20"/>
          <w:szCs w:val="20"/>
        </w:rPr>
        <w:t>million, or 39.</w:t>
      </w:r>
      <w:r>
        <w:rPr>
          <w:sz w:val="20"/>
          <w:szCs w:val="20"/>
          <w:lang w:eastAsia="zh-CN"/>
        </w:rPr>
        <w:t>9</w:t>
      </w:r>
      <w:r>
        <w:rPr>
          <w:sz w:val="20"/>
          <w:szCs w:val="20"/>
        </w:rPr>
        <w:t>%, to RMB 12</w:t>
      </w:r>
      <w:r>
        <w:rPr>
          <w:sz w:val="20"/>
          <w:szCs w:val="20"/>
          <w:lang w:eastAsia="zh-CN"/>
        </w:rPr>
        <w:t>9.3</w:t>
      </w:r>
      <w:r>
        <w:rPr>
          <w:sz w:val="20"/>
          <w:szCs w:val="20"/>
        </w:rPr>
        <w:t xml:space="preserve"> million (US$ </w:t>
      </w:r>
      <w:r>
        <w:rPr>
          <w:sz w:val="20"/>
          <w:szCs w:val="20"/>
          <w:lang w:eastAsia="zh-CN"/>
        </w:rPr>
        <w:t>19.9</w:t>
      </w:r>
      <w:r>
        <w:rPr>
          <w:sz w:val="20"/>
          <w:szCs w:val="20"/>
        </w:rPr>
        <w:t xml:space="preserve"> million) from RMB 92.5 million in the same period of the prior year, which was primarily due to the increases in rental costs and personnel costs. Rental costs increased as the Company expanded its operations. The increase in personnel costs was primarily attributable to an increase in teaching hours at self-owned learning centers</w:t>
      </w:r>
      <w:r w:rsidR="00132235">
        <w:rPr>
          <w:rFonts w:hint="eastAsia"/>
          <w:sz w:val="20"/>
          <w:szCs w:val="20"/>
          <w:lang w:eastAsia="zh-CN"/>
        </w:rPr>
        <w:t xml:space="preserve"> and</w:t>
      </w:r>
      <w:r w:rsidR="000063A8" w:rsidRPr="00BC481B">
        <w:rPr>
          <w:sz w:val="20"/>
          <w:szCs w:val="20"/>
        </w:rPr>
        <w:t xml:space="preserve"> sha</w:t>
      </w:r>
      <w:r>
        <w:rPr>
          <w:sz w:val="20"/>
          <w:szCs w:val="20"/>
        </w:rPr>
        <w:t>re-based compensation of RMB 17.</w:t>
      </w:r>
      <w:r>
        <w:rPr>
          <w:sz w:val="20"/>
          <w:szCs w:val="20"/>
          <w:lang w:eastAsia="zh-CN"/>
        </w:rPr>
        <w:t>1</w:t>
      </w:r>
      <w:r>
        <w:rPr>
          <w:sz w:val="20"/>
          <w:szCs w:val="20"/>
        </w:rPr>
        <w:t xml:space="preserve"> million (US$ </w:t>
      </w:r>
      <w:r>
        <w:rPr>
          <w:sz w:val="20"/>
          <w:szCs w:val="20"/>
          <w:lang w:eastAsia="zh-CN"/>
        </w:rPr>
        <w:t>2.6</w:t>
      </w:r>
      <w:r>
        <w:rPr>
          <w:sz w:val="20"/>
          <w:szCs w:val="20"/>
        </w:rPr>
        <w:t xml:space="preserve"> million) as a result of the Company’s initial public offering in the </w:t>
      </w:r>
      <w:r w:rsidR="004D0929">
        <w:rPr>
          <w:sz w:val="20"/>
          <w:szCs w:val="20"/>
        </w:rPr>
        <w:t>fourth</w:t>
      </w:r>
      <w:r w:rsidR="003E247C">
        <w:rPr>
          <w:rFonts w:hint="eastAsia"/>
          <w:sz w:val="20"/>
          <w:szCs w:val="20"/>
          <w:lang w:eastAsia="zh-CN"/>
        </w:rPr>
        <w:t xml:space="preserve"> </w:t>
      </w:r>
      <w:r>
        <w:rPr>
          <w:sz w:val="20"/>
          <w:szCs w:val="20"/>
        </w:rPr>
        <w:t>quarter 2017.</w:t>
      </w:r>
    </w:p>
    <w:p w:rsidR="008116AE" w:rsidRPr="00BC481B" w:rsidRDefault="008116AE"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Gross Profit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Gross profit for the fourth quarter of 2017 increased by RMB 42.</w:t>
      </w:r>
      <w:r>
        <w:rPr>
          <w:sz w:val="20"/>
          <w:szCs w:val="20"/>
          <w:lang w:eastAsia="zh-CN"/>
        </w:rPr>
        <w:t>0</w:t>
      </w:r>
      <w:r>
        <w:rPr>
          <w:sz w:val="20"/>
          <w:szCs w:val="20"/>
        </w:rPr>
        <w:t xml:space="preserve"> million, or 4</w:t>
      </w:r>
      <w:r>
        <w:rPr>
          <w:sz w:val="20"/>
          <w:szCs w:val="20"/>
          <w:lang w:eastAsia="zh-CN"/>
        </w:rPr>
        <w:t>1</w:t>
      </w:r>
      <w:r>
        <w:rPr>
          <w:sz w:val="20"/>
          <w:szCs w:val="20"/>
        </w:rPr>
        <w:t>.</w:t>
      </w:r>
      <w:r>
        <w:rPr>
          <w:sz w:val="20"/>
          <w:szCs w:val="20"/>
          <w:lang w:eastAsia="zh-CN"/>
        </w:rPr>
        <w:t>7</w:t>
      </w:r>
      <w:r>
        <w:rPr>
          <w:sz w:val="20"/>
          <w:szCs w:val="20"/>
        </w:rPr>
        <w:t>%, to RMB 14</w:t>
      </w:r>
      <w:r>
        <w:rPr>
          <w:sz w:val="20"/>
          <w:szCs w:val="20"/>
          <w:lang w:eastAsia="zh-CN"/>
        </w:rPr>
        <w:t>2.8</w:t>
      </w:r>
      <w:r>
        <w:rPr>
          <w:sz w:val="20"/>
          <w:szCs w:val="20"/>
        </w:rPr>
        <w:t xml:space="preserve"> million (US$ </w:t>
      </w:r>
      <w:r>
        <w:rPr>
          <w:sz w:val="20"/>
          <w:szCs w:val="20"/>
          <w:lang w:eastAsia="zh-CN"/>
        </w:rPr>
        <w:t>22.0</w:t>
      </w:r>
      <w:r>
        <w:rPr>
          <w:sz w:val="20"/>
          <w:szCs w:val="20"/>
        </w:rPr>
        <w:t xml:space="preserve"> million) from RMB 100.8 million in the same period of the prior year. Gross margin increased to 52.</w:t>
      </w:r>
      <w:r>
        <w:rPr>
          <w:sz w:val="20"/>
          <w:szCs w:val="20"/>
          <w:lang w:eastAsia="zh-CN"/>
        </w:rPr>
        <w:t>5</w:t>
      </w:r>
      <w:r>
        <w:rPr>
          <w:sz w:val="20"/>
          <w:szCs w:val="20"/>
        </w:rPr>
        <w:t>% for the fourth quarter of 2017 from 52.2% in the same period of the prior year. Excluding the impact of share-based compensation included</w:t>
      </w:r>
      <w:r w:rsidR="000C64FD">
        <w:rPr>
          <w:rFonts w:hint="eastAsia"/>
          <w:sz w:val="20"/>
          <w:szCs w:val="20"/>
          <w:lang w:eastAsia="zh-CN"/>
        </w:rPr>
        <w:t xml:space="preserve"> on</w:t>
      </w:r>
      <w:r>
        <w:rPr>
          <w:sz w:val="20"/>
          <w:szCs w:val="20"/>
        </w:rPr>
        <w:t xml:space="preserve"> cost of revenue</w:t>
      </w:r>
      <w:r w:rsidR="00121BEA">
        <w:rPr>
          <w:rFonts w:hint="eastAsia"/>
          <w:sz w:val="20"/>
          <w:szCs w:val="20"/>
          <w:lang w:eastAsia="zh-CN"/>
        </w:rPr>
        <w:t>s</w:t>
      </w:r>
      <w:r>
        <w:rPr>
          <w:sz w:val="20"/>
          <w:szCs w:val="20"/>
        </w:rPr>
        <w:t xml:space="preserve">, </w:t>
      </w:r>
      <w:r w:rsidR="00145349">
        <w:rPr>
          <w:sz w:val="20"/>
          <w:szCs w:val="20"/>
        </w:rPr>
        <w:t>non-GAAP</w:t>
      </w:r>
      <w:r>
        <w:rPr>
          <w:sz w:val="20"/>
          <w:szCs w:val="20"/>
        </w:rPr>
        <w:t xml:space="preserve"> gross profit for the fourth quarter of 2017 was RMB 1</w:t>
      </w:r>
      <w:r>
        <w:rPr>
          <w:sz w:val="20"/>
          <w:szCs w:val="20"/>
          <w:lang w:eastAsia="zh-CN"/>
        </w:rPr>
        <w:t>59.9</w:t>
      </w:r>
      <w:r>
        <w:rPr>
          <w:sz w:val="20"/>
          <w:szCs w:val="20"/>
        </w:rPr>
        <w:t xml:space="preserve"> million (US$ </w:t>
      </w:r>
      <w:r>
        <w:rPr>
          <w:sz w:val="20"/>
          <w:szCs w:val="20"/>
          <w:lang w:eastAsia="zh-CN"/>
        </w:rPr>
        <w:t>24.6</w:t>
      </w:r>
      <w:r>
        <w:rPr>
          <w:sz w:val="20"/>
          <w:szCs w:val="20"/>
        </w:rPr>
        <w:t xml:space="preserve"> million) and </w:t>
      </w:r>
      <w:r w:rsidR="00145349">
        <w:rPr>
          <w:sz w:val="20"/>
          <w:szCs w:val="20"/>
        </w:rPr>
        <w:t>non-GAAP</w:t>
      </w:r>
      <w:r>
        <w:rPr>
          <w:sz w:val="20"/>
          <w:szCs w:val="20"/>
        </w:rPr>
        <w:t xml:space="preserve"> gross margin was 5</w:t>
      </w:r>
      <w:r>
        <w:rPr>
          <w:sz w:val="20"/>
          <w:szCs w:val="20"/>
          <w:lang w:eastAsia="zh-CN"/>
        </w:rPr>
        <w:t>8.8</w:t>
      </w:r>
      <w:r>
        <w:rPr>
          <w:sz w:val="20"/>
          <w:szCs w:val="20"/>
        </w:rPr>
        <w: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b/>
          <w:bCs/>
          <w:sz w:val="20"/>
          <w:szCs w:val="20"/>
        </w:rPr>
        <w:t xml:space="preserve">Operating Expenses and </w:t>
      </w:r>
      <w:r w:rsidR="00132235">
        <w:rPr>
          <w:rFonts w:hint="eastAsia"/>
          <w:b/>
          <w:bCs/>
          <w:sz w:val="20"/>
          <w:szCs w:val="20"/>
          <w:lang w:eastAsia="zh-CN"/>
        </w:rPr>
        <w:t xml:space="preserve">Operating </w:t>
      </w:r>
      <w:r>
        <w:rPr>
          <w:b/>
          <w:bCs/>
          <w:sz w:val="20"/>
          <w:szCs w:val="20"/>
        </w:rPr>
        <w:t>Income</w:t>
      </w:r>
      <w:r w:rsidR="004A17CB">
        <w:rPr>
          <w:rFonts w:hint="eastAsia"/>
          <w:b/>
          <w:bCs/>
          <w:sz w:val="20"/>
          <w:szCs w:val="20"/>
          <w:lang w:eastAsia="zh-CN"/>
        </w:rPr>
        <w:t xml:space="preserve"> </w:t>
      </w:r>
      <w:r>
        <w:rPr>
          <w:b/>
          <w:bCs/>
          <w:sz w:val="20"/>
          <w:szCs w:val="20"/>
        </w:rPr>
        <w:t>/</w:t>
      </w:r>
      <w:r w:rsidR="004A17CB">
        <w:rPr>
          <w:rFonts w:hint="eastAsia"/>
          <w:b/>
          <w:bCs/>
          <w:sz w:val="20"/>
          <w:szCs w:val="20"/>
          <w:lang w:eastAsia="zh-CN"/>
        </w:rPr>
        <w:t xml:space="preserve"> </w:t>
      </w:r>
      <w:r w:rsidR="00132235">
        <w:rPr>
          <w:rFonts w:hint="eastAsia"/>
          <w:b/>
          <w:bCs/>
          <w:sz w:val="20"/>
          <w:szCs w:val="20"/>
          <w:lang w:eastAsia="zh-CN"/>
        </w:rPr>
        <w:t>(</w:t>
      </w:r>
      <w:r>
        <w:rPr>
          <w:b/>
          <w:bCs/>
          <w:sz w:val="20"/>
          <w:szCs w:val="20"/>
        </w:rPr>
        <w:t>Loss</w:t>
      </w:r>
      <w:r w:rsidR="00132235">
        <w:rPr>
          <w:rFonts w:hint="eastAsia"/>
          <w:b/>
          <w:bCs/>
          <w:sz w:val="20"/>
          <w:szCs w:val="20"/>
          <w:lang w:eastAsia="zh-CN"/>
        </w:rPr>
        <w: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sz w:val="20"/>
          <w:szCs w:val="20"/>
        </w:rPr>
        <w:t xml:space="preserve">Total operating expenses for the fourth quarter of 2017 </w:t>
      </w:r>
      <w:r>
        <w:rPr>
          <w:sz w:val="20"/>
          <w:szCs w:val="20"/>
          <w:lang w:eastAsia="zh-CN"/>
        </w:rPr>
        <w:t>increased by</w:t>
      </w:r>
      <w:r w:rsidR="00206A68">
        <w:rPr>
          <w:rFonts w:hint="eastAsia"/>
          <w:sz w:val="20"/>
          <w:szCs w:val="20"/>
          <w:lang w:eastAsia="zh-CN"/>
        </w:rPr>
        <w:t xml:space="preserve"> </w:t>
      </w:r>
      <w:r>
        <w:rPr>
          <w:sz w:val="20"/>
          <w:szCs w:val="20"/>
          <w:lang w:eastAsia="zh-CN"/>
        </w:rPr>
        <w:t xml:space="preserve">RMB 184.6 million, or 211.8%, to </w:t>
      </w:r>
      <w:r>
        <w:rPr>
          <w:sz w:val="20"/>
          <w:szCs w:val="20"/>
        </w:rPr>
        <w:t>RMB</w:t>
      </w:r>
      <w:r w:rsidR="00121BEA">
        <w:rPr>
          <w:rFonts w:hint="eastAsia"/>
          <w:sz w:val="20"/>
          <w:szCs w:val="20"/>
          <w:lang w:eastAsia="zh-CN"/>
        </w:rPr>
        <w:t xml:space="preserve"> </w:t>
      </w:r>
      <w:r>
        <w:rPr>
          <w:sz w:val="20"/>
          <w:szCs w:val="20"/>
        </w:rPr>
        <w:t>27</w:t>
      </w:r>
      <w:r>
        <w:rPr>
          <w:sz w:val="20"/>
          <w:szCs w:val="20"/>
          <w:lang w:eastAsia="zh-CN"/>
        </w:rPr>
        <w:t>1.7</w:t>
      </w:r>
      <w:r>
        <w:rPr>
          <w:sz w:val="20"/>
          <w:szCs w:val="20"/>
        </w:rPr>
        <w:t xml:space="preserve"> million</w:t>
      </w:r>
      <w:r>
        <w:rPr>
          <w:sz w:val="20"/>
          <w:szCs w:val="20"/>
          <w:lang w:eastAsia="zh-CN"/>
        </w:rPr>
        <w:t xml:space="preserve"> (US$</w:t>
      </w:r>
      <w:r w:rsidR="00121BEA">
        <w:rPr>
          <w:rFonts w:hint="eastAsia"/>
          <w:sz w:val="20"/>
          <w:szCs w:val="20"/>
          <w:lang w:eastAsia="zh-CN"/>
        </w:rPr>
        <w:t xml:space="preserve"> </w:t>
      </w:r>
      <w:r>
        <w:rPr>
          <w:sz w:val="20"/>
          <w:szCs w:val="20"/>
          <w:lang w:eastAsia="zh-CN"/>
        </w:rPr>
        <w:t>41.8 million),</w:t>
      </w:r>
      <w:r>
        <w:rPr>
          <w:sz w:val="20"/>
          <w:szCs w:val="20"/>
        </w:rPr>
        <w:t xml:space="preserve"> compared to RMB 87.1 million in the same period of the prior year.</w:t>
      </w:r>
      <w:r w:rsidR="00206A68">
        <w:rPr>
          <w:rFonts w:hint="eastAsia"/>
          <w:sz w:val="20"/>
          <w:szCs w:val="20"/>
          <w:lang w:eastAsia="zh-CN"/>
        </w:rPr>
        <w:t xml:space="preserve"> </w:t>
      </w:r>
      <w:r>
        <w:rPr>
          <w:sz w:val="20"/>
          <w:szCs w:val="20"/>
          <w:lang w:eastAsia="zh-CN"/>
        </w:rPr>
        <w:t xml:space="preserve">Excluding the impact of </w:t>
      </w:r>
      <w:r w:rsidR="005D17E1">
        <w:rPr>
          <w:rFonts w:hint="eastAsia"/>
          <w:sz w:val="20"/>
          <w:szCs w:val="20"/>
          <w:lang w:eastAsia="zh-CN"/>
        </w:rPr>
        <w:t xml:space="preserve">IPO-related </w:t>
      </w:r>
      <w:r>
        <w:rPr>
          <w:sz w:val="20"/>
          <w:szCs w:val="20"/>
          <w:lang w:eastAsia="zh-CN"/>
        </w:rPr>
        <w:t>expenses</w:t>
      </w:r>
      <w:r w:rsidR="005D17E1">
        <w:rPr>
          <w:rFonts w:hint="eastAsia"/>
          <w:sz w:val="20"/>
          <w:szCs w:val="20"/>
          <w:lang w:eastAsia="zh-CN"/>
        </w:rPr>
        <w:t xml:space="preserve">, </w:t>
      </w:r>
      <w:r>
        <w:rPr>
          <w:sz w:val="20"/>
          <w:szCs w:val="20"/>
          <w:lang w:eastAsia="zh-CN"/>
        </w:rPr>
        <w:t>one-off expenses</w:t>
      </w:r>
      <w:r w:rsidR="005D17E1">
        <w:rPr>
          <w:rFonts w:hint="eastAsia"/>
          <w:sz w:val="20"/>
          <w:szCs w:val="20"/>
          <w:lang w:eastAsia="zh-CN"/>
        </w:rPr>
        <w:t xml:space="preserve"> and </w:t>
      </w:r>
      <w:r w:rsidR="00766108">
        <w:rPr>
          <w:rFonts w:hint="eastAsia"/>
          <w:sz w:val="20"/>
          <w:szCs w:val="20"/>
          <w:lang w:eastAsia="zh-CN"/>
        </w:rPr>
        <w:t>share-based compensation</w:t>
      </w:r>
      <w:r>
        <w:rPr>
          <w:sz w:val="20"/>
          <w:szCs w:val="20"/>
          <w:lang w:eastAsia="zh-CN"/>
        </w:rPr>
        <w:t xml:space="preserve">, </w:t>
      </w:r>
      <w:r w:rsidR="005D17E1">
        <w:rPr>
          <w:rFonts w:hint="eastAsia"/>
          <w:sz w:val="20"/>
          <w:szCs w:val="20"/>
          <w:lang w:eastAsia="zh-CN"/>
        </w:rPr>
        <w:t>non-GAAP</w:t>
      </w:r>
      <w:r>
        <w:rPr>
          <w:sz w:val="20"/>
          <w:szCs w:val="20"/>
          <w:lang w:eastAsia="zh-CN"/>
        </w:rPr>
        <w:t xml:space="preserve"> operating expenses for </w:t>
      </w:r>
      <w:r w:rsidR="00B96928">
        <w:rPr>
          <w:rFonts w:hint="eastAsia"/>
          <w:sz w:val="20"/>
          <w:szCs w:val="20"/>
          <w:lang w:eastAsia="zh-CN"/>
        </w:rPr>
        <w:t xml:space="preserve">the </w:t>
      </w:r>
      <w:r>
        <w:rPr>
          <w:sz w:val="20"/>
          <w:szCs w:val="20"/>
          <w:lang w:eastAsia="zh-CN"/>
        </w:rPr>
        <w:t xml:space="preserve">fourth quarter of 2017 </w:t>
      </w:r>
      <w:r w:rsidR="000C64FD">
        <w:rPr>
          <w:sz w:val="20"/>
          <w:szCs w:val="20"/>
          <w:lang w:eastAsia="zh-CN"/>
        </w:rPr>
        <w:t>w</w:t>
      </w:r>
      <w:r w:rsidR="000C64FD">
        <w:rPr>
          <w:rFonts w:hint="eastAsia"/>
          <w:sz w:val="20"/>
          <w:szCs w:val="20"/>
          <w:lang w:eastAsia="zh-CN"/>
        </w:rPr>
        <w:t>ere</w:t>
      </w:r>
      <w:r w:rsidR="000C64FD">
        <w:rPr>
          <w:sz w:val="20"/>
          <w:szCs w:val="20"/>
          <w:lang w:eastAsia="zh-CN"/>
        </w:rPr>
        <w:t xml:space="preserve"> </w:t>
      </w:r>
      <w:r>
        <w:rPr>
          <w:sz w:val="20"/>
          <w:szCs w:val="20"/>
          <w:lang w:eastAsia="zh-CN"/>
        </w:rPr>
        <w:t xml:space="preserve">RMB111.6 million (US$ 17.2 million). As a percentage of total revenues, </w:t>
      </w:r>
      <w:r w:rsidR="00145349">
        <w:rPr>
          <w:sz w:val="20"/>
          <w:szCs w:val="20"/>
          <w:lang w:eastAsia="zh-CN"/>
        </w:rPr>
        <w:t>non-GAAP</w:t>
      </w:r>
      <w:r>
        <w:rPr>
          <w:sz w:val="20"/>
          <w:szCs w:val="20"/>
          <w:lang w:eastAsia="zh-CN"/>
        </w:rPr>
        <w:t xml:space="preserve"> operating expenses decreased to 41.0% in </w:t>
      </w:r>
      <w:r w:rsidR="000C64FD">
        <w:rPr>
          <w:rFonts w:hint="eastAsia"/>
          <w:sz w:val="20"/>
          <w:szCs w:val="20"/>
          <w:lang w:eastAsia="zh-CN"/>
        </w:rPr>
        <w:t xml:space="preserve">the </w:t>
      </w:r>
      <w:r>
        <w:rPr>
          <w:sz w:val="20"/>
          <w:szCs w:val="20"/>
          <w:lang w:eastAsia="zh-CN"/>
        </w:rPr>
        <w:t>fourth quarter of 2017 from 45.1% in the same period of the prior year.</w:t>
      </w:r>
    </w:p>
    <w:p w:rsidR="00FB2F06" w:rsidRPr="00BC481B" w:rsidRDefault="00FB2F06" w:rsidP="00866CA8">
      <w:pPr>
        <w:pStyle w:val="a3"/>
        <w:spacing w:before="0" w:beforeAutospacing="0" w:after="0" w:afterAutospacing="0"/>
        <w:jc w:val="both"/>
        <w:divId w:val="1081558984"/>
        <w:rPr>
          <w:sz w:val="20"/>
          <w:szCs w:val="20"/>
        </w:rPr>
      </w:pPr>
    </w:p>
    <w:p w:rsidR="00390C09" w:rsidRPr="00BC481B" w:rsidRDefault="00592C21" w:rsidP="00390C09">
      <w:pPr>
        <w:pStyle w:val="a3"/>
        <w:numPr>
          <w:ilvl w:val="0"/>
          <w:numId w:val="3"/>
        </w:numPr>
        <w:spacing w:before="0" w:beforeAutospacing="0" w:after="0" w:afterAutospacing="0"/>
        <w:jc w:val="both"/>
        <w:divId w:val="1081558984"/>
        <w:rPr>
          <w:rFonts w:eastAsia="Times New Roman"/>
          <w:sz w:val="20"/>
          <w:szCs w:val="20"/>
        </w:rPr>
      </w:pPr>
      <w:r>
        <w:rPr>
          <w:rFonts w:eastAsia="Times New Roman"/>
          <w:sz w:val="20"/>
          <w:szCs w:val="20"/>
        </w:rPr>
        <w:t>Selling and marketing expenses for the fourth quarter of 2017 increased to RMB 61.</w:t>
      </w:r>
      <w:r>
        <w:rPr>
          <w:rFonts w:eastAsia="Times New Roman"/>
          <w:sz w:val="20"/>
          <w:szCs w:val="20"/>
          <w:lang w:eastAsia="zh-CN"/>
        </w:rPr>
        <w:t>7</w:t>
      </w:r>
      <w:r>
        <w:rPr>
          <w:rFonts w:eastAsia="Times New Roman"/>
          <w:sz w:val="20"/>
          <w:szCs w:val="20"/>
        </w:rPr>
        <w:t xml:space="preserve"> million (US$ </w:t>
      </w:r>
      <w:r>
        <w:rPr>
          <w:rFonts w:eastAsia="Times New Roman"/>
          <w:sz w:val="20"/>
          <w:szCs w:val="20"/>
          <w:lang w:eastAsia="zh-CN"/>
        </w:rPr>
        <w:t>9.5</w:t>
      </w:r>
      <w:r>
        <w:rPr>
          <w:rFonts w:eastAsia="Times New Roman"/>
          <w:sz w:val="20"/>
          <w:szCs w:val="20"/>
        </w:rPr>
        <w:t xml:space="preserve"> million), including RMB</w:t>
      </w:r>
      <w:r w:rsidR="00121BEA">
        <w:rPr>
          <w:rFonts w:eastAsia="Times New Roman" w:hint="eastAsia"/>
          <w:sz w:val="20"/>
          <w:szCs w:val="20"/>
          <w:lang w:eastAsia="zh-CN"/>
        </w:rPr>
        <w:t xml:space="preserve"> </w:t>
      </w:r>
      <w:r>
        <w:rPr>
          <w:rFonts w:eastAsia="Times New Roman"/>
          <w:sz w:val="20"/>
          <w:szCs w:val="20"/>
        </w:rPr>
        <w:t xml:space="preserve">9.0 million (US$ </w:t>
      </w:r>
      <w:r>
        <w:rPr>
          <w:rFonts w:eastAsia="Times New Roman"/>
          <w:sz w:val="20"/>
          <w:szCs w:val="20"/>
          <w:lang w:eastAsia="zh-CN"/>
        </w:rPr>
        <w:t>1.4</w:t>
      </w:r>
      <w:r>
        <w:rPr>
          <w:rFonts w:eastAsia="Times New Roman"/>
          <w:sz w:val="20"/>
          <w:szCs w:val="20"/>
        </w:rPr>
        <w:t xml:space="preserve"> million) of share-based compensation, from RMB 44.3 million in the same period of the prior year. As a percentage of total revenues, </w:t>
      </w:r>
      <w:r w:rsidR="00145349">
        <w:rPr>
          <w:rFonts w:eastAsia="Times New Roman"/>
          <w:sz w:val="20"/>
          <w:szCs w:val="20"/>
          <w:lang w:eastAsia="zh-CN"/>
        </w:rPr>
        <w:t>non-GAAP</w:t>
      </w:r>
      <w:r>
        <w:rPr>
          <w:rFonts w:eastAsia="Times New Roman"/>
          <w:sz w:val="20"/>
          <w:szCs w:val="20"/>
          <w:lang w:eastAsia="zh-CN"/>
        </w:rPr>
        <w:t xml:space="preserve"> </w:t>
      </w:r>
      <w:r>
        <w:rPr>
          <w:rFonts w:eastAsia="Times New Roman"/>
          <w:sz w:val="20"/>
          <w:szCs w:val="20"/>
        </w:rPr>
        <w:t xml:space="preserve">selling and marketing expenses decreased to </w:t>
      </w:r>
      <w:r>
        <w:rPr>
          <w:rFonts w:eastAsia="Times New Roman"/>
          <w:sz w:val="20"/>
          <w:szCs w:val="20"/>
          <w:lang w:eastAsia="zh-CN"/>
        </w:rPr>
        <w:t>19.3</w:t>
      </w:r>
      <w:r>
        <w:rPr>
          <w:rFonts w:eastAsia="Times New Roman"/>
          <w:sz w:val="20"/>
          <w:szCs w:val="20"/>
        </w:rPr>
        <w:t>% in the fourth quarter of 2017 from 22.9% in the same period of the prior year.</w:t>
      </w:r>
    </w:p>
    <w:p w:rsidR="00390C09" w:rsidRPr="00BC481B" w:rsidRDefault="00390C09" w:rsidP="00866CA8">
      <w:pPr>
        <w:pStyle w:val="a3"/>
        <w:spacing w:before="0" w:beforeAutospacing="0" w:after="0" w:afterAutospacing="0"/>
        <w:jc w:val="both"/>
        <w:divId w:val="1081558984"/>
        <w:rPr>
          <w:rFonts w:eastAsia="Times New Roman"/>
          <w:sz w:val="20"/>
          <w:szCs w:val="20"/>
        </w:rPr>
      </w:pPr>
    </w:p>
    <w:p w:rsidR="00390C09" w:rsidRPr="00BC481B" w:rsidRDefault="00592C21" w:rsidP="00390C09">
      <w:pPr>
        <w:pStyle w:val="a3"/>
        <w:numPr>
          <w:ilvl w:val="0"/>
          <w:numId w:val="3"/>
        </w:numPr>
        <w:spacing w:before="0" w:beforeAutospacing="0" w:after="0" w:afterAutospacing="0"/>
        <w:jc w:val="both"/>
        <w:divId w:val="1081558984"/>
        <w:rPr>
          <w:rFonts w:eastAsia="Times New Roman"/>
          <w:sz w:val="20"/>
          <w:szCs w:val="20"/>
        </w:rPr>
      </w:pPr>
      <w:r>
        <w:rPr>
          <w:rFonts w:eastAsia="Times New Roman"/>
          <w:sz w:val="20"/>
          <w:szCs w:val="20"/>
        </w:rPr>
        <w:t xml:space="preserve">General and administrative expenses for the fourth quarter of 2017 </w:t>
      </w:r>
      <w:r>
        <w:rPr>
          <w:rFonts w:eastAsia="Times New Roman"/>
          <w:sz w:val="20"/>
          <w:szCs w:val="20"/>
          <w:lang w:eastAsia="zh-CN"/>
        </w:rPr>
        <w:t>increased to</w:t>
      </w:r>
      <w:r>
        <w:rPr>
          <w:rFonts w:eastAsia="Times New Roman"/>
          <w:sz w:val="20"/>
          <w:szCs w:val="20"/>
        </w:rPr>
        <w:t xml:space="preserve"> RMB 2</w:t>
      </w:r>
      <w:r>
        <w:rPr>
          <w:rFonts w:eastAsia="Times New Roman"/>
          <w:sz w:val="20"/>
          <w:szCs w:val="20"/>
          <w:lang w:eastAsia="zh-CN"/>
        </w:rPr>
        <w:t>10</w:t>
      </w:r>
      <w:r>
        <w:rPr>
          <w:rFonts w:eastAsia="Times New Roman"/>
          <w:sz w:val="20"/>
          <w:szCs w:val="20"/>
        </w:rPr>
        <w:t>.</w:t>
      </w:r>
      <w:r>
        <w:rPr>
          <w:sz w:val="20"/>
          <w:szCs w:val="20"/>
          <w:lang w:eastAsia="zh-CN"/>
        </w:rPr>
        <w:t>0</w:t>
      </w:r>
      <w:r>
        <w:rPr>
          <w:rFonts w:eastAsia="Times New Roman"/>
          <w:sz w:val="20"/>
          <w:szCs w:val="20"/>
        </w:rPr>
        <w:t xml:space="preserve"> million (US$ </w:t>
      </w:r>
      <w:r>
        <w:rPr>
          <w:rFonts w:eastAsia="Times New Roman"/>
          <w:sz w:val="20"/>
          <w:szCs w:val="20"/>
          <w:lang w:eastAsia="zh-CN"/>
        </w:rPr>
        <w:t>32.3</w:t>
      </w:r>
      <w:r>
        <w:rPr>
          <w:rFonts w:eastAsia="Times New Roman"/>
          <w:sz w:val="20"/>
          <w:szCs w:val="20"/>
        </w:rPr>
        <w:t xml:space="preserve"> million) compared to RMB 42.8 million in the same period of the prior year. General and administrative expenses for the fourth quarter of 2017 included RMB 69.2 million (US$ </w:t>
      </w:r>
      <w:r>
        <w:rPr>
          <w:rFonts w:eastAsia="Times New Roman"/>
          <w:sz w:val="20"/>
          <w:szCs w:val="20"/>
          <w:lang w:eastAsia="zh-CN"/>
        </w:rPr>
        <w:t>10.6</w:t>
      </w:r>
      <w:r>
        <w:rPr>
          <w:rFonts w:eastAsia="Times New Roman"/>
          <w:sz w:val="20"/>
          <w:szCs w:val="20"/>
        </w:rPr>
        <w:t xml:space="preserve"> million) in share-based compensation </w:t>
      </w:r>
      <w:r w:rsidR="005E0A61">
        <w:rPr>
          <w:rFonts w:eastAsia="Times New Roman" w:hint="eastAsia"/>
          <w:sz w:val="20"/>
          <w:szCs w:val="20"/>
          <w:lang w:eastAsia="zh-CN"/>
        </w:rPr>
        <w:t>and</w:t>
      </w:r>
      <w:r>
        <w:rPr>
          <w:rFonts w:eastAsia="Times New Roman"/>
          <w:sz w:val="20"/>
          <w:szCs w:val="20"/>
        </w:rPr>
        <w:t xml:space="preserve"> RMB </w:t>
      </w:r>
      <w:r>
        <w:rPr>
          <w:rFonts w:eastAsia="Times New Roman"/>
          <w:sz w:val="20"/>
          <w:szCs w:val="20"/>
          <w:lang w:eastAsia="zh-CN"/>
        </w:rPr>
        <w:t>81.8</w:t>
      </w:r>
      <w:r>
        <w:rPr>
          <w:rFonts w:eastAsia="Times New Roman"/>
          <w:sz w:val="20"/>
          <w:szCs w:val="20"/>
        </w:rPr>
        <w:t xml:space="preserve"> million (US$ </w:t>
      </w:r>
      <w:r>
        <w:rPr>
          <w:rFonts w:eastAsia="Times New Roman"/>
          <w:sz w:val="20"/>
          <w:szCs w:val="20"/>
          <w:lang w:eastAsia="zh-CN"/>
        </w:rPr>
        <w:t>12.6</w:t>
      </w:r>
      <w:r>
        <w:rPr>
          <w:rFonts w:eastAsia="Times New Roman"/>
          <w:sz w:val="20"/>
          <w:szCs w:val="20"/>
        </w:rPr>
        <w:t xml:space="preserve"> million) in IPO</w:t>
      </w:r>
      <w:r w:rsidR="005D17E1">
        <w:rPr>
          <w:rFonts w:eastAsia="Times New Roman" w:hint="eastAsia"/>
          <w:sz w:val="20"/>
          <w:szCs w:val="20"/>
          <w:lang w:eastAsia="zh-CN"/>
        </w:rPr>
        <w:t>-related</w:t>
      </w:r>
      <w:r>
        <w:rPr>
          <w:rFonts w:eastAsia="Times New Roman"/>
          <w:sz w:val="20"/>
          <w:szCs w:val="20"/>
          <w:lang w:eastAsia="zh-CN"/>
        </w:rPr>
        <w:t xml:space="preserve"> expenses</w:t>
      </w:r>
      <w:r w:rsidR="005D17E1">
        <w:rPr>
          <w:rFonts w:eastAsia="Times New Roman" w:hint="eastAsia"/>
          <w:sz w:val="20"/>
          <w:szCs w:val="20"/>
          <w:lang w:eastAsia="zh-CN"/>
        </w:rPr>
        <w:t xml:space="preserve"> and one-off expenses</w:t>
      </w:r>
      <w:r>
        <w:rPr>
          <w:rFonts w:eastAsia="Times New Roman"/>
          <w:sz w:val="20"/>
          <w:szCs w:val="20"/>
        </w:rPr>
        <w:t>.</w:t>
      </w:r>
      <w:r w:rsidR="00766108">
        <w:rPr>
          <w:rFonts w:eastAsia="Times New Roman" w:hint="eastAsia"/>
          <w:sz w:val="20"/>
          <w:szCs w:val="20"/>
          <w:lang w:eastAsia="zh-CN"/>
        </w:rPr>
        <w:t xml:space="preserve"> </w:t>
      </w:r>
      <w:r>
        <w:rPr>
          <w:rFonts w:eastAsia="Times New Roman"/>
          <w:sz w:val="20"/>
          <w:szCs w:val="20"/>
        </w:rPr>
        <w:t xml:space="preserve">Excluding </w:t>
      </w:r>
      <w:r w:rsidR="005D17E1">
        <w:rPr>
          <w:rFonts w:eastAsia="Times New Roman" w:hint="eastAsia"/>
          <w:sz w:val="20"/>
          <w:szCs w:val="20"/>
          <w:lang w:eastAsia="zh-CN"/>
        </w:rPr>
        <w:t>IPO-related ex</w:t>
      </w:r>
      <w:r w:rsidR="00766108">
        <w:rPr>
          <w:rFonts w:hint="eastAsia"/>
          <w:sz w:val="20"/>
          <w:szCs w:val="20"/>
          <w:lang w:eastAsia="zh-CN"/>
        </w:rPr>
        <w:t>p</w:t>
      </w:r>
      <w:r w:rsidR="005D17E1">
        <w:rPr>
          <w:rFonts w:eastAsia="Times New Roman" w:hint="eastAsia"/>
          <w:sz w:val="20"/>
          <w:szCs w:val="20"/>
          <w:lang w:eastAsia="zh-CN"/>
        </w:rPr>
        <w:t xml:space="preserve">enses, one-off expenses and </w:t>
      </w:r>
      <w:r w:rsidR="00766108">
        <w:rPr>
          <w:rFonts w:eastAsia="Times New Roman"/>
          <w:sz w:val="20"/>
          <w:szCs w:val="20"/>
          <w:lang w:eastAsia="zh-CN"/>
        </w:rPr>
        <w:t>share-based compensation</w:t>
      </w:r>
      <w:r>
        <w:rPr>
          <w:rFonts w:eastAsia="Times New Roman"/>
          <w:sz w:val="20"/>
          <w:szCs w:val="20"/>
        </w:rPr>
        <w:t xml:space="preserve">, </w:t>
      </w:r>
      <w:r w:rsidR="005D17E1">
        <w:rPr>
          <w:rFonts w:eastAsia="Times New Roman" w:hint="eastAsia"/>
          <w:sz w:val="20"/>
          <w:szCs w:val="20"/>
          <w:lang w:eastAsia="zh-CN"/>
        </w:rPr>
        <w:t>non-GAAP</w:t>
      </w:r>
      <w:r w:rsidR="005D17E1">
        <w:rPr>
          <w:rFonts w:eastAsia="Times New Roman"/>
          <w:sz w:val="20"/>
          <w:szCs w:val="20"/>
          <w:lang w:eastAsia="zh-CN"/>
        </w:rPr>
        <w:t xml:space="preserve"> </w:t>
      </w:r>
      <w:r>
        <w:rPr>
          <w:rFonts w:eastAsia="Times New Roman"/>
          <w:sz w:val="20"/>
          <w:szCs w:val="20"/>
        </w:rPr>
        <w:t>general and administrative expenses for the fourth quarter of 2017 was RMB 5</w:t>
      </w:r>
      <w:r>
        <w:rPr>
          <w:rFonts w:eastAsia="Times New Roman"/>
          <w:sz w:val="20"/>
          <w:szCs w:val="20"/>
          <w:lang w:eastAsia="zh-CN"/>
        </w:rPr>
        <w:t>9.0</w:t>
      </w:r>
      <w:r>
        <w:rPr>
          <w:rFonts w:eastAsia="Times New Roman"/>
          <w:sz w:val="20"/>
          <w:szCs w:val="20"/>
        </w:rPr>
        <w:t xml:space="preserve"> million (US$ </w:t>
      </w:r>
      <w:r>
        <w:rPr>
          <w:rFonts w:eastAsia="Times New Roman"/>
          <w:sz w:val="20"/>
          <w:szCs w:val="20"/>
          <w:lang w:eastAsia="zh-CN"/>
        </w:rPr>
        <w:t>9.1</w:t>
      </w:r>
      <w:r>
        <w:rPr>
          <w:rFonts w:eastAsia="Times New Roman"/>
          <w:sz w:val="20"/>
          <w:szCs w:val="20"/>
        </w:rPr>
        <w:t xml:space="preserve"> million), or </w:t>
      </w:r>
      <w:r>
        <w:rPr>
          <w:rFonts w:eastAsia="Times New Roman"/>
          <w:sz w:val="20"/>
          <w:szCs w:val="20"/>
          <w:lang w:eastAsia="zh-CN"/>
        </w:rPr>
        <w:t>21.7</w:t>
      </w:r>
      <w:r>
        <w:rPr>
          <w:rFonts w:eastAsia="Times New Roman"/>
          <w:sz w:val="20"/>
          <w:szCs w:val="20"/>
        </w:rPr>
        <w:t>% of revenue</w:t>
      </w:r>
      <w:r>
        <w:rPr>
          <w:rFonts w:eastAsia="Times New Roman"/>
          <w:sz w:val="20"/>
          <w:szCs w:val="20"/>
          <w:lang w:eastAsia="zh-CN"/>
        </w:rPr>
        <w:t>s</w:t>
      </w:r>
      <w:r>
        <w:rPr>
          <w:rFonts w:eastAsia="Times New Roman"/>
          <w:sz w:val="20"/>
          <w:szCs w:val="20"/>
        </w:rPr>
        <w:t xml:space="preserve">, </w:t>
      </w:r>
      <w:r w:rsidR="00767094">
        <w:rPr>
          <w:rFonts w:eastAsia="Times New Roman" w:hint="eastAsia"/>
          <w:sz w:val="20"/>
          <w:szCs w:val="20"/>
          <w:lang w:eastAsia="zh-CN"/>
        </w:rPr>
        <w:t>decreased</w:t>
      </w:r>
      <w:r w:rsidR="00767094">
        <w:rPr>
          <w:rFonts w:eastAsia="Times New Roman"/>
          <w:sz w:val="20"/>
          <w:szCs w:val="20"/>
        </w:rPr>
        <w:t xml:space="preserve"> </w:t>
      </w:r>
      <w:r>
        <w:rPr>
          <w:rFonts w:eastAsia="Times New Roman"/>
          <w:sz w:val="20"/>
          <w:szCs w:val="20"/>
        </w:rPr>
        <w:t xml:space="preserve">from 22.2% in the </w:t>
      </w:r>
      <w:r w:rsidR="00121BEA">
        <w:rPr>
          <w:rFonts w:eastAsia="Times New Roman" w:hint="eastAsia"/>
          <w:sz w:val="20"/>
          <w:szCs w:val="20"/>
          <w:lang w:eastAsia="zh-CN"/>
        </w:rPr>
        <w:t xml:space="preserve">same period of the </w:t>
      </w:r>
      <w:r>
        <w:rPr>
          <w:rFonts w:eastAsia="Times New Roman"/>
          <w:sz w:val="20"/>
          <w:szCs w:val="20"/>
        </w:rPr>
        <w:t>prior year.</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lastRenderedPageBreak/>
        <w:t xml:space="preserve">Operating loss for the fourth quarter of 2017 was RMB </w:t>
      </w:r>
      <w:r>
        <w:rPr>
          <w:sz w:val="20"/>
          <w:szCs w:val="20"/>
          <w:lang w:eastAsia="zh-CN"/>
        </w:rPr>
        <w:t>128.9</w:t>
      </w:r>
      <w:r>
        <w:rPr>
          <w:sz w:val="20"/>
          <w:szCs w:val="20"/>
        </w:rPr>
        <w:t xml:space="preserve"> million (US$ </w:t>
      </w:r>
      <w:r>
        <w:rPr>
          <w:sz w:val="20"/>
          <w:szCs w:val="20"/>
          <w:lang w:eastAsia="zh-CN"/>
        </w:rPr>
        <w:t>19.8</w:t>
      </w:r>
      <w:r>
        <w:rPr>
          <w:sz w:val="20"/>
          <w:szCs w:val="20"/>
        </w:rPr>
        <w:t xml:space="preserve"> million) compared to an operating income of RMB 13.7 million in the same period of the prior year. Excluding </w:t>
      </w:r>
      <w:r>
        <w:rPr>
          <w:sz w:val="20"/>
          <w:szCs w:val="20"/>
          <w:lang w:eastAsia="zh-CN"/>
        </w:rPr>
        <w:t>IPO</w:t>
      </w:r>
      <w:r w:rsidR="00766108">
        <w:rPr>
          <w:rFonts w:hint="eastAsia"/>
          <w:sz w:val="20"/>
          <w:szCs w:val="20"/>
          <w:lang w:eastAsia="zh-CN"/>
        </w:rPr>
        <w:t>-related expenses,</w:t>
      </w:r>
      <w:r>
        <w:rPr>
          <w:sz w:val="20"/>
          <w:szCs w:val="20"/>
          <w:lang w:eastAsia="zh-CN"/>
        </w:rPr>
        <w:t xml:space="preserve"> one-off expenses</w:t>
      </w:r>
      <w:r>
        <w:rPr>
          <w:sz w:val="20"/>
          <w:szCs w:val="20"/>
        </w:rPr>
        <w:t xml:space="preserve">, </w:t>
      </w:r>
      <w:r w:rsidR="00766108">
        <w:rPr>
          <w:rFonts w:hint="eastAsia"/>
          <w:sz w:val="20"/>
          <w:szCs w:val="20"/>
          <w:lang w:eastAsia="zh-CN"/>
        </w:rPr>
        <w:t xml:space="preserve">and </w:t>
      </w:r>
      <w:r w:rsidR="00766108">
        <w:rPr>
          <w:sz w:val="20"/>
          <w:szCs w:val="20"/>
          <w:lang w:eastAsia="zh-CN"/>
        </w:rPr>
        <w:t>share-based compensation</w:t>
      </w:r>
      <w:r w:rsidR="00766108">
        <w:rPr>
          <w:rFonts w:hint="eastAsia"/>
          <w:sz w:val="20"/>
          <w:szCs w:val="20"/>
          <w:lang w:eastAsia="zh-CN"/>
        </w:rPr>
        <w:t>,</w:t>
      </w:r>
      <w:r w:rsidR="00766108">
        <w:rPr>
          <w:sz w:val="20"/>
          <w:szCs w:val="20"/>
          <w:lang w:eastAsia="zh-CN"/>
        </w:rPr>
        <w:t xml:space="preserve"> </w:t>
      </w:r>
      <w:r w:rsidR="00766108">
        <w:rPr>
          <w:rFonts w:hint="eastAsia"/>
          <w:sz w:val="20"/>
          <w:szCs w:val="20"/>
          <w:lang w:eastAsia="zh-CN"/>
        </w:rPr>
        <w:t>non-GAAP</w:t>
      </w:r>
      <w:r w:rsidR="00766108">
        <w:rPr>
          <w:sz w:val="20"/>
          <w:szCs w:val="20"/>
        </w:rPr>
        <w:t xml:space="preserve"> </w:t>
      </w:r>
      <w:r>
        <w:rPr>
          <w:sz w:val="20"/>
          <w:szCs w:val="20"/>
        </w:rPr>
        <w:t xml:space="preserve">operating </w:t>
      </w:r>
      <w:r w:rsidR="00121BEA">
        <w:rPr>
          <w:rFonts w:hint="eastAsia"/>
          <w:sz w:val="20"/>
          <w:szCs w:val="20"/>
          <w:lang w:eastAsia="zh-CN"/>
        </w:rPr>
        <w:t>income</w:t>
      </w:r>
      <w:r w:rsidR="00121BEA">
        <w:rPr>
          <w:sz w:val="20"/>
          <w:szCs w:val="20"/>
        </w:rPr>
        <w:t xml:space="preserve"> </w:t>
      </w:r>
      <w:r>
        <w:rPr>
          <w:sz w:val="20"/>
          <w:szCs w:val="20"/>
        </w:rPr>
        <w:t xml:space="preserve">for the fourth quarter of 2017 was RMB </w:t>
      </w:r>
      <w:r>
        <w:rPr>
          <w:sz w:val="20"/>
          <w:szCs w:val="20"/>
          <w:lang w:eastAsia="zh-CN"/>
        </w:rPr>
        <w:t>48.3</w:t>
      </w:r>
      <w:r>
        <w:rPr>
          <w:sz w:val="20"/>
          <w:szCs w:val="20"/>
        </w:rPr>
        <w:t xml:space="preserve"> million (US$ </w:t>
      </w:r>
      <w:r>
        <w:rPr>
          <w:sz w:val="20"/>
          <w:szCs w:val="20"/>
          <w:lang w:eastAsia="zh-CN"/>
        </w:rPr>
        <w:t>7.4</w:t>
      </w:r>
      <w:r>
        <w:rPr>
          <w:sz w:val="20"/>
          <w:szCs w:val="20"/>
        </w:rPr>
        <w:t xml:space="preserve"> million), </w:t>
      </w:r>
      <w:r w:rsidR="00767094">
        <w:rPr>
          <w:rFonts w:hint="eastAsia"/>
          <w:sz w:val="20"/>
          <w:szCs w:val="20"/>
          <w:lang w:eastAsia="zh-CN"/>
        </w:rPr>
        <w:t>increased by</w:t>
      </w:r>
      <w:r w:rsidR="00767094">
        <w:rPr>
          <w:sz w:val="20"/>
          <w:szCs w:val="20"/>
        </w:rPr>
        <w:t xml:space="preserve"> </w:t>
      </w:r>
      <w:r w:rsidR="00065A1A" w:rsidRPr="00547270">
        <w:rPr>
          <w:sz w:val="20"/>
          <w:szCs w:val="20"/>
          <w:lang w:eastAsia="zh-CN"/>
        </w:rPr>
        <w:t>253.6</w:t>
      </w:r>
      <w:r w:rsidR="00065A1A" w:rsidRPr="00547270">
        <w:rPr>
          <w:sz w:val="20"/>
          <w:szCs w:val="20"/>
        </w:rPr>
        <w:t>%</w:t>
      </w:r>
      <w:r>
        <w:rPr>
          <w:sz w:val="20"/>
          <w:szCs w:val="20"/>
        </w:rPr>
        <w:t xml:space="preserve"> from RMB 13.7 million in the same period of the prior year. </w:t>
      </w:r>
      <w:r w:rsidR="005907C4">
        <w:rPr>
          <w:rFonts w:hint="eastAsia"/>
          <w:sz w:val="20"/>
          <w:szCs w:val="20"/>
          <w:lang w:eastAsia="zh-CN"/>
        </w:rPr>
        <w:t>Non-GAAP</w:t>
      </w:r>
      <w:r w:rsidR="005907C4">
        <w:rPr>
          <w:sz w:val="20"/>
          <w:szCs w:val="20"/>
        </w:rPr>
        <w:t xml:space="preserve"> </w:t>
      </w:r>
      <w:r>
        <w:rPr>
          <w:sz w:val="20"/>
          <w:szCs w:val="20"/>
        </w:rPr>
        <w:t xml:space="preserve">operating margin expanded to </w:t>
      </w:r>
      <w:r>
        <w:rPr>
          <w:sz w:val="20"/>
          <w:szCs w:val="20"/>
          <w:lang w:eastAsia="zh-CN"/>
        </w:rPr>
        <w:t>17.7</w:t>
      </w:r>
      <w:r>
        <w:rPr>
          <w:sz w:val="20"/>
          <w:szCs w:val="20"/>
        </w:rPr>
        <w:t xml:space="preserve">% during the fourth quarter of 2017 from </w:t>
      </w:r>
      <w:r>
        <w:rPr>
          <w:sz w:val="20"/>
          <w:szCs w:val="20"/>
          <w:lang w:eastAsia="zh-CN"/>
        </w:rPr>
        <w:t>7.1</w:t>
      </w:r>
      <w:r>
        <w:rPr>
          <w:sz w:val="20"/>
          <w:szCs w:val="20"/>
        </w:rPr>
        <w:t xml:space="preserve">% in the </w:t>
      </w:r>
      <w:r w:rsidR="00121BEA">
        <w:rPr>
          <w:rFonts w:hint="eastAsia"/>
          <w:sz w:val="20"/>
          <w:szCs w:val="20"/>
          <w:lang w:eastAsia="zh-CN"/>
        </w:rPr>
        <w:t xml:space="preserve">same period of the </w:t>
      </w:r>
      <w:r>
        <w:rPr>
          <w:sz w:val="20"/>
          <w:szCs w:val="20"/>
        </w:rPr>
        <w:t>prior year.</w:t>
      </w:r>
    </w:p>
    <w:p w:rsidR="00A4253C" w:rsidRPr="00BC481B" w:rsidRDefault="00A4253C" w:rsidP="00866CA8">
      <w:pPr>
        <w:pStyle w:val="a3"/>
        <w:spacing w:before="0" w:beforeAutospacing="0" w:after="0" w:afterAutospacing="0"/>
        <w:jc w:val="both"/>
        <w:divId w:val="1081558984"/>
        <w:rPr>
          <w:b/>
          <w:bCs/>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Interest Expense</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Interest expense for the fourth quarter of 2017 was RMB 11.0</w:t>
      </w:r>
      <w:r w:rsidR="00767094">
        <w:rPr>
          <w:rFonts w:hint="eastAsia"/>
          <w:sz w:val="20"/>
          <w:szCs w:val="20"/>
          <w:lang w:eastAsia="zh-CN"/>
        </w:rPr>
        <w:t xml:space="preserve"> </w:t>
      </w:r>
      <w:r>
        <w:rPr>
          <w:sz w:val="20"/>
          <w:szCs w:val="20"/>
        </w:rPr>
        <w:t xml:space="preserve">million (US$ </w:t>
      </w:r>
      <w:r>
        <w:rPr>
          <w:sz w:val="20"/>
          <w:szCs w:val="20"/>
          <w:lang w:eastAsia="zh-CN"/>
        </w:rPr>
        <w:t>1.7</w:t>
      </w:r>
      <w:r>
        <w:rPr>
          <w:sz w:val="20"/>
          <w:szCs w:val="20"/>
        </w:rPr>
        <w:t xml:space="preserve"> million) as compared </w:t>
      </w:r>
      <w:r w:rsidR="0041570D">
        <w:rPr>
          <w:rFonts w:hint="eastAsia"/>
          <w:sz w:val="20"/>
          <w:szCs w:val="20"/>
          <w:lang w:eastAsia="zh-CN"/>
        </w:rPr>
        <w:t>with</w:t>
      </w:r>
      <w:r w:rsidR="005E0A61">
        <w:rPr>
          <w:sz w:val="20"/>
          <w:szCs w:val="20"/>
        </w:rPr>
        <w:t xml:space="preserve"> </w:t>
      </w:r>
      <w:r>
        <w:rPr>
          <w:sz w:val="20"/>
          <w:szCs w:val="20"/>
        </w:rPr>
        <w:t>RMB 5.0 million in the same period of the prior year. The Company drew down a US$ 55</w:t>
      </w:r>
      <w:r w:rsidR="00132235">
        <w:rPr>
          <w:rFonts w:hint="eastAsia"/>
          <w:sz w:val="20"/>
          <w:szCs w:val="20"/>
          <w:lang w:eastAsia="zh-CN"/>
        </w:rPr>
        <w:t>.0</w:t>
      </w:r>
      <w:r>
        <w:rPr>
          <w:sz w:val="20"/>
          <w:szCs w:val="20"/>
        </w:rPr>
        <w:t xml:space="preserve"> million long</w:t>
      </w:r>
      <w:r w:rsidR="00121BEA">
        <w:rPr>
          <w:rFonts w:hint="eastAsia"/>
          <w:sz w:val="20"/>
          <w:szCs w:val="20"/>
          <w:lang w:eastAsia="zh-CN"/>
        </w:rPr>
        <w:t>-</w:t>
      </w:r>
      <w:r>
        <w:rPr>
          <w:sz w:val="20"/>
          <w:szCs w:val="20"/>
        </w:rPr>
        <w:t xml:space="preserve">term loan facility from CTBC Bank Co. Ltd. on September 12, 2016, and this loan facility was further expanded to US$ 110.0 million in September 2017. The increase in interest expense is caused by a higher loan principal. The </w:t>
      </w:r>
      <w:r w:rsidR="00132235">
        <w:rPr>
          <w:rFonts w:hint="eastAsia"/>
          <w:sz w:val="20"/>
          <w:szCs w:val="20"/>
          <w:lang w:eastAsia="zh-CN"/>
        </w:rPr>
        <w:t>C</w:t>
      </w:r>
      <w:r>
        <w:rPr>
          <w:sz w:val="20"/>
          <w:szCs w:val="20"/>
        </w:rPr>
        <w:t xml:space="preserve">ompany plans to repay the loan </w:t>
      </w:r>
      <w:r w:rsidR="00132235">
        <w:rPr>
          <w:rFonts w:hint="eastAsia"/>
          <w:sz w:val="20"/>
          <w:szCs w:val="20"/>
          <w:lang w:eastAsia="zh-CN"/>
        </w:rPr>
        <w:t>in</w:t>
      </w:r>
      <w:r w:rsidR="00132235">
        <w:rPr>
          <w:sz w:val="20"/>
          <w:szCs w:val="20"/>
        </w:rPr>
        <w:t xml:space="preserve"> </w:t>
      </w:r>
      <w:r>
        <w:rPr>
          <w:sz w:val="20"/>
          <w:szCs w:val="20"/>
        </w:rPr>
        <w:t xml:space="preserve">installments </w:t>
      </w:r>
      <w:r w:rsidR="00132235">
        <w:rPr>
          <w:rFonts w:hint="eastAsia"/>
          <w:sz w:val="20"/>
          <w:szCs w:val="20"/>
          <w:lang w:eastAsia="zh-CN"/>
        </w:rPr>
        <w:t>over</w:t>
      </w:r>
      <w:r w:rsidR="00132235">
        <w:rPr>
          <w:sz w:val="20"/>
          <w:szCs w:val="20"/>
        </w:rPr>
        <w:t xml:space="preserve"> </w:t>
      </w:r>
      <w:r>
        <w:rPr>
          <w:sz w:val="20"/>
          <w:szCs w:val="20"/>
        </w:rPr>
        <w:t>the next 5 years.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Income</w:t>
      </w:r>
      <w:r w:rsidR="004A17CB">
        <w:rPr>
          <w:rFonts w:hint="eastAsia"/>
          <w:b/>
          <w:bCs/>
          <w:sz w:val="20"/>
          <w:szCs w:val="20"/>
          <w:lang w:eastAsia="zh-CN"/>
        </w:rPr>
        <w:t xml:space="preserve"> / </w:t>
      </w:r>
      <w:r w:rsidR="004A17CB">
        <w:rPr>
          <w:b/>
          <w:bCs/>
          <w:sz w:val="20"/>
          <w:szCs w:val="20"/>
          <w:lang w:eastAsia="zh-CN"/>
        </w:rPr>
        <w:t>(</w:t>
      </w:r>
      <w:r w:rsidR="004A17CB">
        <w:rPr>
          <w:b/>
          <w:bCs/>
          <w:sz w:val="20"/>
          <w:szCs w:val="20"/>
        </w:rPr>
        <w:t>Loss</w:t>
      </w:r>
      <w:r w:rsidR="004A17CB">
        <w:rPr>
          <w:b/>
          <w:bCs/>
          <w:sz w:val="20"/>
          <w:szCs w:val="20"/>
          <w:lang w:eastAsia="zh-CN"/>
        </w:rPr>
        <w:t>)</w:t>
      </w:r>
      <w:r>
        <w:rPr>
          <w:b/>
          <w:bCs/>
          <w:sz w:val="20"/>
          <w:szCs w:val="20"/>
        </w:rPr>
        <w:t xml:space="preserve"> before Income Tax Expense</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Loss before income tax expense for the fourth quarter of 2017 was RMB 12</w:t>
      </w:r>
      <w:r>
        <w:rPr>
          <w:sz w:val="20"/>
          <w:szCs w:val="20"/>
          <w:lang w:eastAsia="zh-CN"/>
        </w:rPr>
        <w:t xml:space="preserve">9.1 </w:t>
      </w:r>
      <w:r>
        <w:rPr>
          <w:sz w:val="20"/>
          <w:szCs w:val="20"/>
        </w:rPr>
        <w:t xml:space="preserve">million (US$ </w:t>
      </w:r>
      <w:r>
        <w:rPr>
          <w:sz w:val="20"/>
          <w:szCs w:val="20"/>
          <w:lang w:eastAsia="zh-CN"/>
        </w:rPr>
        <w:t>19.8</w:t>
      </w:r>
      <w:r>
        <w:rPr>
          <w:sz w:val="20"/>
          <w:szCs w:val="20"/>
        </w:rPr>
        <w:t xml:space="preserve"> million), as compared </w:t>
      </w:r>
      <w:r w:rsidR="0041570D">
        <w:rPr>
          <w:rFonts w:hint="eastAsia"/>
          <w:sz w:val="20"/>
          <w:szCs w:val="20"/>
          <w:lang w:eastAsia="zh-CN"/>
        </w:rPr>
        <w:t>with</w:t>
      </w:r>
      <w:r>
        <w:rPr>
          <w:sz w:val="20"/>
          <w:szCs w:val="20"/>
        </w:rPr>
        <w:t xml:space="preserve"> an income before income tax expense of RMB 16.0 million in the same period of the prior year.</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Income Tax</w:t>
      </w:r>
      <w:r w:rsidR="00132235">
        <w:rPr>
          <w:rFonts w:hint="eastAsia"/>
          <w:b/>
          <w:bCs/>
          <w:sz w:val="20"/>
          <w:szCs w:val="20"/>
          <w:lang w:eastAsia="zh-CN"/>
        </w:rPr>
        <w:t xml:space="preserve"> </w:t>
      </w:r>
      <w:r>
        <w:rPr>
          <w:b/>
          <w:bCs/>
          <w:sz w:val="20"/>
          <w:szCs w:val="20"/>
        </w:rPr>
        <w:t>Expense</w:t>
      </w:r>
    </w:p>
    <w:p w:rsidR="00FB2F06" w:rsidRPr="00BC481B" w:rsidRDefault="00FB2F06" w:rsidP="00866CA8">
      <w:pPr>
        <w:pStyle w:val="a3"/>
        <w:spacing w:before="0" w:beforeAutospacing="0" w:after="0" w:afterAutospacing="0"/>
        <w:jc w:val="both"/>
        <w:divId w:val="1081558984"/>
        <w:rPr>
          <w:sz w:val="20"/>
          <w:szCs w:val="20"/>
        </w:rPr>
      </w:pPr>
    </w:p>
    <w:p w:rsidR="00EB2EC5" w:rsidRPr="00BC481B" w:rsidRDefault="00592C21" w:rsidP="00866CA8">
      <w:pPr>
        <w:pStyle w:val="a3"/>
        <w:spacing w:before="0" w:beforeAutospacing="0" w:after="0" w:afterAutospacing="0"/>
        <w:jc w:val="both"/>
        <w:divId w:val="1081558984"/>
        <w:rPr>
          <w:sz w:val="20"/>
          <w:szCs w:val="20"/>
        </w:rPr>
      </w:pPr>
      <w:r>
        <w:rPr>
          <w:sz w:val="20"/>
          <w:szCs w:val="20"/>
        </w:rPr>
        <w:t xml:space="preserve">Income tax expense for the fourth quarter of 2017 was RMB </w:t>
      </w:r>
      <w:r>
        <w:rPr>
          <w:sz w:val="20"/>
          <w:szCs w:val="20"/>
          <w:lang w:eastAsia="zh-CN"/>
        </w:rPr>
        <w:t>8.9</w:t>
      </w:r>
      <w:r>
        <w:rPr>
          <w:sz w:val="20"/>
          <w:szCs w:val="20"/>
        </w:rPr>
        <w:t xml:space="preserve"> million (US$ </w:t>
      </w:r>
      <w:r>
        <w:rPr>
          <w:sz w:val="20"/>
          <w:szCs w:val="20"/>
          <w:lang w:eastAsia="zh-CN"/>
        </w:rPr>
        <w:t>1.4</w:t>
      </w:r>
      <w:r>
        <w:rPr>
          <w:sz w:val="20"/>
          <w:szCs w:val="20"/>
        </w:rPr>
        <w:t xml:space="preserve"> million) as compared</w:t>
      </w:r>
      <w:r w:rsidR="005E0A61">
        <w:rPr>
          <w:rFonts w:hint="eastAsia"/>
          <w:sz w:val="20"/>
          <w:szCs w:val="20"/>
          <w:lang w:eastAsia="zh-CN"/>
        </w:rPr>
        <w:t xml:space="preserve"> </w:t>
      </w:r>
      <w:r w:rsidR="0041570D">
        <w:rPr>
          <w:rFonts w:hint="eastAsia"/>
          <w:sz w:val="20"/>
          <w:szCs w:val="20"/>
          <w:lang w:eastAsia="zh-CN"/>
        </w:rPr>
        <w:t>with</w:t>
      </w:r>
      <w:r w:rsidR="0041570D">
        <w:rPr>
          <w:sz w:val="20"/>
          <w:szCs w:val="20"/>
        </w:rPr>
        <w:t xml:space="preserve"> </w:t>
      </w:r>
      <w:r>
        <w:rPr>
          <w:sz w:val="20"/>
          <w:szCs w:val="20"/>
        </w:rPr>
        <w:t>RMB 10.3 million in the same period of the prior year.</w:t>
      </w:r>
    </w:p>
    <w:p w:rsidR="00EB2EC5" w:rsidRPr="00BC481B" w:rsidRDefault="00EB2EC5" w:rsidP="00866CA8">
      <w:pPr>
        <w:pStyle w:val="a3"/>
        <w:spacing w:before="0" w:beforeAutospacing="0" w:after="0" w:afterAutospacing="0"/>
        <w:jc w:val="both"/>
        <w:divId w:val="1081558984"/>
        <w:rPr>
          <w:sz w:val="20"/>
          <w:szCs w:val="20"/>
          <w:lang w:eastAsia="zh-CN"/>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 xml:space="preserve">Net </w:t>
      </w:r>
      <w:r w:rsidR="00E25ED9" w:rsidRPr="00BC481B">
        <w:rPr>
          <w:rFonts w:hint="eastAsia"/>
          <w:b/>
          <w:bCs/>
          <w:sz w:val="20"/>
          <w:szCs w:val="20"/>
          <w:lang w:eastAsia="zh-CN"/>
        </w:rPr>
        <w:t>Income</w:t>
      </w:r>
      <w:r w:rsidR="004A17CB">
        <w:rPr>
          <w:rFonts w:hint="eastAsia"/>
          <w:b/>
          <w:bCs/>
          <w:sz w:val="20"/>
          <w:szCs w:val="20"/>
          <w:lang w:eastAsia="zh-CN"/>
        </w:rPr>
        <w:t xml:space="preserve"> / </w:t>
      </w:r>
      <w:r w:rsidR="004A17CB" w:rsidRPr="00C1671E">
        <w:rPr>
          <w:b/>
          <w:bCs/>
          <w:sz w:val="20"/>
          <w:szCs w:val="20"/>
          <w:lang w:eastAsia="zh-CN"/>
        </w:rPr>
        <w:t>(</w:t>
      </w:r>
      <w:r w:rsidR="004A17CB" w:rsidRPr="00BC481B">
        <w:rPr>
          <w:rFonts w:hint="eastAsia"/>
          <w:b/>
          <w:bCs/>
          <w:sz w:val="20"/>
          <w:szCs w:val="20"/>
          <w:lang w:eastAsia="zh-CN"/>
        </w:rPr>
        <w:t>Loss</w:t>
      </w:r>
      <w:r w:rsidR="004A17CB" w:rsidRPr="00C1671E">
        <w:rPr>
          <w:b/>
          <w:bCs/>
          <w:sz w:val="20"/>
          <w:szCs w:val="20"/>
          <w:lang w:eastAsia="zh-CN"/>
        </w:rPr>
        <w: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Net loss for the fourth quarter of 2017 </w:t>
      </w:r>
      <w:r w:rsidR="00C1671E" w:rsidRPr="00C1671E">
        <w:rPr>
          <w:sz w:val="20"/>
          <w:szCs w:val="20"/>
          <w:lang w:eastAsia="zh-CN"/>
        </w:rPr>
        <w:t xml:space="preserve">was </w:t>
      </w:r>
      <w:r>
        <w:rPr>
          <w:sz w:val="20"/>
          <w:szCs w:val="20"/>
        </w:rPr>
        <w:t>RMB</w:t>
      </w:r>
      <w:r w:rsidR="00121BEA">
        <w:rPr>
          <w:rFonts w:hint="eastAsia"/>
          <w:sz w:val="20"/>
          <w:szCs w:val="20"/>
          <w:lang w:eastAsia="zh-CN"/>
        </w:rPr>
        <w:t xml:space="preserve"> </w:t>
      </w:r>
      <w:r>
        <w:rPr>
          <w:sz w:val="20"/>
          <w:szCs w:val="20"/>
        </w:rPr>
        <w:t>1</w:t>
      </w:r>
      <w:r>
        <w:rPr>
          <w:sz w:val="20"/>
          <w:szCs w:val="20"/>
          <w:lang w:eastAsia="zh-CN"/>
        </w:rPr>
        <w:t>38.0</w:t>
      </w:r>
      <w:r>
        <w:rPr>
          <w:sz w:val="20"/>
          <w:szCs w:val="20"/>
        </w:rPr>
        <w:t xml:space="preserve"> million (US$ </w:t>
      </w:r>
      <w:r>
        <w:rPr>
          <w:sz w:val="20"/>
          <w:szCs w:val="20"/>
          <w:lang w:eastAsia="zh-CN"/>
        </w:rPr>
        <w:t>21.2</w:t>
      </w:r>
      <w:r>
        <w:rPr>
          <w:sz w:val="20"/>
          <w:szCs w:val="20"/>
        </w:rPr>
        <w:t xml:space="preserve"> million)</w:t>
      </w:r>
      <w:r>
        <w:rPr>
          <w:sz w:val="20"/>
          <w:szCs w:val="20"/>
          <w:lang w:eastAsia="zh-CN"/>
        </w:rPr>
        <w:t xml:space="preserve"> compared to a net income</w:t>
      </w:r>
      <w:r>
        <w:rPr>
          <w:sz w:val="20"/>
          <w:szCs w:val="20"/>
        </w:rPr>
        <w:t xml:space="preserve"> of RMB 5.7 million in the same period of the prior year</w:t>
      </w:r>
      <w:r w:rsidR="00C1671E" w:rsidRPr="00C1671E">
        <w:rPr>
          <w:sz w:val="20"/>
          <w:szCs w:val="20"/>
          <w:lang w:eastAsia="zh-CN"/>
        </w:rPr>
        <w:t xml:space="preserve">. The decrease </w:t>
      </w:r>
      <w:r w:rsidR="00121BEA">
        <w:rPr>
          <w:rFonts w:hint="eastAsia"/>
          <w:sz w:val="20"/>
          <w:szCs w:val="20"/>
          <w:lang w:eastAsia="zh-CN"/>
        </w:rPr>
        <w:t xml:space="preserve">of income </w:t>
      </w:r>
      <w:r w:rsidR="00C1671E" w:rsidRPr="00C1671E">
        <w:rPr>
          <w:sz w:val="20"/>
          <w:szCs w:val="20"/>
          <w:lang w:eastAsia="zh-CN"/>
        </w:rPr>
        <w:t>of RMB 143.7 million was</w:t>
      </w:r>
      <w:r w:rsidR="005F7AE4">
        <w:rPr>
          <w:rFonts w:hint="eastAsia"/>
          <w:sz w:val="20"/>
          <w:szCs w:val="20"/>
          <w:lang w:eastAsia="zh-CN"/>
        </w:rPr>
        <w:t xml:space="preserve"> </w:t>
      </w:r>
      <w:r w:rsidR="00EC60DE" w:rsidRPr="00BC481B">
        <w:rPr>
          <w:sz w:val="20"/>
          <w:szCs w:val="20"/>
        </w:rPr>
        <w:t xml:space="preserve">primarily due to incurrence of </w:t>
      </w:r>
      <w:r>
        <w:rPr>
          <w:sz w:val="20"/>
          <w:szCs w:val="20"/>
        </w:rPr>
        <w:t>the Company’s IPO</w:t>
      </w:r>
      <w:r w:rsidR="00766108">
        <w:rPr>
          <w:rFonts w:hint="eastAsia"/>
          <w:sz w:val="20"/>
          <w:szCs w:val="20"/>
          <w:lang w:eastAsia="zh-CN"/>
        </w:rPr>
        <w:t>-related expenses</w:t>
      </w:r>
      <w:r>
        <w:rPr>
          <w:sz w:val="20"/>
          <w:szCs w:val="20"/>
        </w:rPr>
        <w:t>, one-off</w:t>
      </w:r>
      <w:r w:rsidR="00C1671E" w:rsidRPr="00C1671E">
        <w:rPr>
          <w:sz w:val="20"/>
          <w:szCs w:val="20"/>
          <w:lang w:eastAsia="zh-CN"/>
        </w:rPr>
        <w:t xml:space="preserve"> expenses</w:t>
      </w:r>
      <w:r w:rsidR="00EC60DE" w:rsidRPr="00BC481B">
        <w:rPr>
          <w:sz w:val="20"/>
          <w:szCs w:val="20"/>
        </w:rPr>
        <w:t xml:space="preserve"> and share-based compensation</w:t>
      </w:r>
      <w:r>
        <w:rPr>
          <w:sz w:val="20"/>
          <w:szCs w:val="20"/>
        </w:rPr>
        <w:t>.</w:t>
      </w:r>
    </w:p>
    <w:p w:rsidR="00FB2F06" w:rsidRPr="00BC481B" w:rsidRDefault="00FB2F06" w:rsidP="00866CA8">
      <w:pPr>
        <w:pStyle w:val="a3"/>
        <w:spacing w:before="0" w:beforeAutospacing="0" w:after="0" w:afterAutospacing="0"/>
        <w:jc w:val="both"/>
        <w:divId w:val="1081558984"/>
        <w:rPr>
          <w:sz w:val="20"/>
          <w:szCs w:val="20"/>
        </w:rPr>
      </w:pPr>
    </w:p>
    <w:p w:rsidR="000E1E6E" w:rsidRPr="00BC481B" w:rsidRDefault="00766108" w:rsidP="00866CA8">
      <w:pPr>
        <w:pStyle w:val="a3"/>
        <w:spacing w:before="0" w:beforeAutospacing="0" w:after="0" w:afterAutospacing="0"/>
        <w:jc w:val="both"/>
        <w:divId w:val="1081558984"/>
        <w:rPr>
          <w:sz w:val="20"/>
          <w:szCs w:val="20"/>
          <w:lang w:eastAsia="zh-CN"/>
        </w:rPr>
      </w:pPr>
      <w:r>
        <w:rPr>
          <w:sz w:val="20"/>
          <w:szCs w:val="20"/>
          <w:lang w:eastAsia="zh-CN"/>
        </w:rPr>
        <w:t>N</w:t>
      </w:r>
      <w:r>
        <w:rPr>
          <w:rFonts w:hint="eastAsia"/>
          <w:sz w:val="20"/>
          <w:szCs w:val="20"/>
          <w:lang w:eastAsia="zh-CN"/>
        </w:rPr>
        <w:t>on-GAAP</w:t>
      </w:r>
      <w:r w:rsidR="00592C21">
        <w:rPr>
          <w:sz w:val="20"/>
          <w:szCs w:val="20"/>
        </w:rPr>
        <w:t xml:space="preserve"> net income excludes IPO</w:t>
      </w:r>
      <w:r>
        <w:rPr>
          <w:rFonts w:hint="eastAsia"/>
          <w:sz w:val="20"/>
          <w:szCs w:val="20"/>
          <w:lang w:eastAsia="zh-CN"/>
        </w:rPr>
        <w:t xml:space="preserve">-related expenses, </w:t>
      </w:r>
      <w:r w:rsidR="00592C21">
        <w:rPr>
          <w:sz w:val="20"/>
          <w:szCs w:val="20"/>
        </w:rPr>
        <w:t>one-off expenses</w:t>
      </w:r>
      <w:r w:rsidR="00D25668">
        <w:rPr>
          <w:rFonts w:hint="eastAsia"/>
          <w:sz w:val="20"/>
          <w:szCs w:val="20"/>
          <w:lang w:eastAsia="zh-CN"/>
        </w:rPr>
        <w:t>,</w:t>
      </w:r>
      <w:r>
        <w:rPr>
          <w:rFonts w:hint="eastAsia"/>
          <w:sz w:val="20"/>
          <w:szCs w:val="20"/>
          <w:lang w:eastAsia="zh-CN"/>
        </w:rPr>
        <w:t xml:space="preserve"> and</w:t>
      </w:r>
      <w:r w:rsidR="00592C21">
        <w:rPr>
          <w:sz w:val="20"/>
          <w:szCs w:val="20"/>
          <w:lang w:eastAsia="zh-CN"/>
        </w:rPr>
        <w:t xml:space="preserve"> </w:t>
      </w:r>
      <w:r>
        <w:rPr>
          <w:sz w:val="20"/>
          <w:szCs w:val="20"/>
        </w:rPr>
        <w:t xml:space="preserve">share-based compensation </w:t>
      </w:r>
      <w:r w:rsidR="00592C21">
        <w:rPr>
          <w:sz w:val="20"/>
          <w:szCs w:val="20"/>
          <w:lang w:eastAsia="zh-CN"/>
        </w:rPr>
        <w:t xml:space="preserve">from net income. </w:t>
      </w:r>
      <w:r>
        <w:rPr>
          <w:rFonts w:hint="eastAsia"/>
          <w:sz w:val="20"/>
          <w:szCs w:val="20"/>
          <w:lang w:eastAsia="zh-CN"/>
        </w:rPr>
        <w:t>Non-GAAP</w:t>
      </w:r>
      <w:r>
        <w:rPr>
          <w:sz w:val="20"/>
          <w:szCs w:val="20"/>
          <w:lang w:eastAsia="zh-CN"/>
        </w:rPr>
        <w:t xml:space="preserve"> </w:t>
      </w:r>
      <w:r w:rsidR="00592C21">
        <w:rPr>
          <w:sz w:val="20"/>
          <w:szCs w:val="20"/>
          <w:lang w:eastAsia="zh-CN"/>
        </w:rPr>
        <w:t xml:space="preserve">net income for the fourth quarter of 2017 increased by </w:t>
      </w:r>
      <w:r w:rsidR="007B1EAD">
        <w:rPr>
          <w:rFonts w:hint="eastAsia"/>
          <w:sz w:val="20"/>
          <w:szCs w:val="20"/>
          <w:lang w:eastAsia="zh-CN"/>
        </w:rPr>
        <w:t>403.8</w:t>
      </w:r>
      <w:r w:rsidR="00592C21">
        <w:rPr>
          <w:sz w:val="20"/>
          <w:szCs w:val="20"/>
          <w:lang w:eastAsia="zh-CN"/>
        </w:rPr>
        <w:t xml:space="preserve">% </w:t>
      </w:r>
      <w:r w:rsidR="0047065D">
        <w:rPr>
          <w:sz w:val="20"/>
          <w:szCs w:val="20"/>
          <w:lang w:eastAsia="zh-CN"/>
        </w:rPr>
        <w:t>year-over-year</w:t>
      </w:r>
      <w:r w:rsidR="00592C21">
        <w:rPr>
          <w:sz w:val="20"/>
          <w:szCs w:val="20"/>
        </w:rPr>
        <w:t xml:space="preserve"> to RMB </w:t>
      </w:r>
      <w:r w:rsidR="007B1EAD">
        <w:rPr>
          <w:rFonts w:hint="eastAsia"/>
          <w:sz w:val="20"/>
          <w:szCs w:val="20"/>
          <w:lang w:eastAsia="zh-CN"/>
        </w:rPr>
        <w:t>28.6</w:t>
      </w:r>
      <w:r w:rsidR="00592C21">
        <w:rPr>
          <w:sz w:val="20"/>
          <w:szCs w:val="20"/>
        </w:rPr>
        <w:t xml:space="preserve"> million (US$ </w:t>
      </w:r>
      <w:r w:rsidR="00592C21">
        <w:rPr>
          <w:sz w:val="20"/>
          <w:szCs w:val="20"/>
          <w:lang w:eastAsia="zh-CN"/>
        </w:rPr>
        <w:t>4.</w:t>
      </w:r>
      <w:r w:rsidR="007B1EAD">
        <w:rPr>
          <w:rFonts w:hint="eastAsia"/>
          <w:sz w:val="20"/>
          <w:szCs w:val="20"/>
          <w:lang w:eastAsia="zh-CN"/>
        </w:rPr>
        <w:t>4</w:t>
      </w:r>
      <w:r w:rsidR="00592C21">
        <w:rPr>
          <w:sz w:val="20"/>
          <w:szCs w:val="20"/>
        </w:rPr>
        <w:t xml:space="preserve"> million) from RMB 5.7 million in the same period of the prior year. </w:t>
      </w:r>
    </w:p>
    <w:p w:rsidR="000E1E6E" w:rsidRPr="00BC481B" w:rsidRDefault="000E1E6E" w:rsidP="00866CA8">
      <w:pPr>
        <w:pStyle w:val="a3"/>
        <w:spacing w:before="0" w:beforeAutospacing="0" w:after="0" w:afterAutospacing="0"/>
        <w:jc w:val="both"/>
        <w:divId w:val="1081558984"/>
        <w:rPr>
          <w:sz w:val="20"/>
          <w:szCs w:val="20"/>
          <w:lang w:eastAsia="zh-CN"/>
        </w:rPr>
      </w:pPr>
    </w:p>
    <w:p w:rsidR="00FB2F06" w:rsidRPr="00BC481B" w:rsidRDefault="00766108" w:rsidP="00866CA8">
      <w:pPr>
        <w:pStyle w:val="a3"/>
        <w:spacing w:before="0" w:beforeAutospacing="0" w:after="0" w:afterAutospacing="0"/>
        <w:jc w:val="both"/>
        <w:divId w:val="1081558984"/>
        <w:rPr>
          <w:sz w:val="20"/>
          <w:szCs w:val="20"/>
        </w:rPr>
      </w:pPr>
      <w:r>
        <w:rPr>
          <w:rFonts w:hint="eastAsia"/>
          <w:sz w:val="20"/>
          <w:szCs w:val="20"/>
          <w:lang w:eastAsia="zh-CN"/>
        </w:rPr>
        <w:t>Non-GAAP</w:t>
      </w:r>
      <w:r>
        <w:rPr>
          <w:sz w:val="20"/>
          <w:szCs w:val="20"/>
        </w:rPr>
        <w:t xml:space="preserve"> </w:t>
      </w:r>
      <w:r w:rsidR="00592C21">
        <w:rPr>
          <w:sz w:val="20"/>
          <w:szCs w:val="20"/>
        </w:rPr>
        <w:t xml:space="preserve">net margin expanded to </w:t>
      </w:r>
      <w:r w:rsidR="00592C21">
        <w:rPr>
          <w:sz w:val="20"/>
          <w:szCs w:val="20"/>
          <w:lang w:eastAsia="zh-CN"/>
        </w:rPr>
        <w:t>10.</w:t>
      </w:r>
      <w:r w:rsidR="007B1EAD">
        <w:rPr>
          <w:rFonts w:hint="eastAsia"/>
          <w:sz w:val="20"/>
          <w:szCs w:val="20"/>
          <w:lang w:eastAsia="zh-CN"/>
        </w:rPr>
        <w:t>5</w:t>
      </w:r>
      <w:r w:rsidR="00592C21">
        <w:rPr>
          <w:sz w:val="20"/>
          <w:szCs w:val="20"/>
        </w:rPr>
        <w:t xml:space="preserve">% during the quarter from </w:t>
      </w:r>
      <w:r w:rsidR="00592C21">
        <w:rPr>
          <w:sz w:val="20"/>
          <w:szCs w:val="20"/>
          <w:lang w:eastAsia="zh-CN"/>
        </w:rPr>
        <w:t>2.9</w:t>
      </w:r>
      <w:r w:rsidR="00592C21">
        <w:rPr>
          <w:sz w:val="20"/>
          <w:szCs w:val="20"/>
        </w:rPr>
        <w:t xml:space="preserve">% in the </w:t>
      </w:r>
      <w:r w:rsidR="00121BEA">
        <w:rPr>
          <w:rFonts w:hint="eastAsia"/>
          <w:sz w:val="20"/>
          <w:szCs w:val="20"/>
          <w:lang w:eastAsia="zh-CN"/>
        </w:rPr>
        <w:t xml:space="preserve">same period of the </w:t>
      </w:r>
      <w:r w:rsidR="00592C21">
        <w:rPr>
          <w:sz w:val="20"/>
          <w:szCs w:val="20"/>
        </w:rPr>
        <w:t>prior year.</w:t>
      </w:r>
    </w:p>
    <w:p w:rsidR="00FB2F06" w:rsidRPr="00BC481B" w:rsidRDefault="00FB2F06" w:rsidP="00866CA8">
      <w:pPr>
        <w:pStyle w:val="a3"/>
        <w:spacing w:before="0" w:beforeAutospacing="0" w:after="0" w:afterAutospacing="0"/>
        <w:jc w:val="both"/>
        <w:divId w:val="1081558984"/>
        <w:rPr>
          <w:sz w:val="20"/>
          <w:szCs w:val="20"/>
        </w:rPr>
      </w:pPr>
    </w:p>
    <w:p w:rsidR="00E25ED9" w:rsidRPr="00BC481B" w:rsidRDefault="00592C21" w:rsidP="00866CA8">
      <w:pPr>
        <w:pStyle w:val="a3"/>
        <w:spacing w:before="0" w:beforeAutospacing="0" w:after="0" w:afterAutospacing="0"/>
        <w:jc w:val="both"/>
        <w:divId w:val="1081558984"/>
        <w:rPr>
          <w:color w:val="000000" w:themeColor="text1"/>
          <w:lang w:eastAsia="zh-CN"/>
        </w:rPr>
      </w:pPr>
      <w:r>
        <w:rPr>
          <w:sz w:val="20"/>
          <w:szCs w:val="20"/>
        </w:rPr>
        <w:t xml:space="preserve">EBITDA is net income or loss before interest, taxes, depreciation and amortization. EBITDA for the </w:t>
      </w:r>
      <w:r>
        <w:rPr>
          <w:sz w:val="20"/>
          <w:szCs w:val="20"/>
          <w:lang w:eastAsia="zh-CN"/>
        </w:rPr>
        <w:t>fourth</w:t>
      </w:r>
      <w:r>
        <w:rPr>
          <w:sz w:val="20"/>
          <w:szCs w:val="20"/>
        </w:rPr>
        <w:t xml:space="preserve"> quarter of 2017 </w:t>
      </w:r>
      <w:r>
        <w:rPr>
          <w:sz w:val="20"/>
          <w:szCs w:val="20"/>
          <w:lang w:eastAsia="zh-CN"/>
        </w:rPr>
        <w:t>de</w:t>
      </w:r>
      <w:r>
        <w:rPr>
          <w:sz w:val="20"/>
          <w:szCs w:val="20"/>
        </w:rPr>
        <w:t xml:space="preserve">creased </w:t>
      </w:r>
      <w:r>
        <w:rPr>
          <w:sz w:val="20"/>
          <w:szCs w:val="20"/>
          <w:lang w:eastAsia="zh-CN"/>
        </w:rPr>
        <w:t>RMB 143.2 million</w:t>
      </w:r>
      <w:r>
        <w:rPr>
          <w:sz w:val="20"/>
          <w:szCs w:val="20"/>
        </w:rPr>
        <w:t xml:space="preserve"> to </w:t>
      </w:r>
      <w:r>
        <w:rPr>
          <w:sz w:val="20"/>
          <w:szCs w:val="20"/>
          <w:lang w:eastAsia="zh-CN"/>
        </w:rPr>
        <w:t xml:space="preserve">negative 109.0 million </w:t>
      </w:r>
      <w:r>
        <w:rPr>
          <w:sz w:val="20"/>
          <w:szCs w:val="20"/>
        </w:rPr>
        <w:t xml:space="preserve">(US$ </w:t>
      </w:r>
      <w:r>
        <w:rPr>
          <w:sz w:val="20"/>
          <w:szCs w:val="20"/>
          <w:lang w:eastAsia="zh-CN"/>
        </w:rPr>
        <w:t>16.8</w:t>
      </w:r>
      <w:r>
        <w:rPr>
          <w:sz w:val="20"/>
          <w:szCs w:val="20"/>
        </w:rPr>
        <w:t xml:space="preserve"> million) from RMB </w:t>
      </w:r>
      <w:r>
        <w:rPr>
          <w:sz w:val="20"/>
          <w:szCs w:val="20"/>
          <w:lang w:eastAsia="zh-CN"/>
        </w:rPr>
        <w:t>34.2</w:t>
      </w:r>
      <w:r>
        <w:rPr>
          <w:sz w:val="20"/>
          <w:szCs w:val="20"/>
        </w:rPr>
        <w:t xml:space="preserve"> million in the same period of the prior year</w:t>
      </w:r>
      <w:r>
        <w:rPr>
          <w:color w:val="000000" w:themeColor="text1"/>
        </w:rPr>
        <w:t>.</w:t>
      </w:r>
    </w:p>
    <w:p w:rsidR="00FB2F06" w:rsidRPr="00BC481B" w:rsidRDefault="00FB2F06" w:rsidP="00866CA8">
      <w:pPr>
        <w:pStyle w:val="a3"/>
        <w:spacing w:before="0" w:beforeAutospacing="0" w:after="0" w:afterAutospacing="0"/>
        <w:jc w:val="both"/>
        <w:divId w:val="1081558984"/>
        <w:rPr>
          <w:sz w:val="20"/>
          <w:szCs w:val="20"/>
        </w:rPr>
      </w:pPr>
    </w:p>
    <w:p w:rsidR="000E1E6E" w:rsidRPr="00BC481B" w:rsidRDefault="00592C21" w:rsidP="00866CA8">
      <w:pPr>
        <w:pStyle w:val="a3"/>
        <w:spacing w:before="0" w:beforeAutospacing="0" w:after="0" w:afterAutospacing="0"/>
        <w:jc w:val="both"/>
        <w:divId w:val="1081558984"/>
        <w:rPr>
          <w:sz w:val="20"/>
          <w:szCs w:val="20"/>
          <w:lang w:eastAsia="zh-CN"/>
        </w:rPr>
      </w:pPr>
      <w:r>
        <w:rPr>
          <w:sz w:val="20"/>
          <w:szCs w:val="20"/>
        </w:rPr>
        <w:t>Adjusted EBITDA excludes</w:t>
      </w:r>
      <w:r>
        <w:rPr>
          <w:sz w:val="20"/>
          <w:szCs w:val="20"/>
          <w:lang w:eastAsia="zh-CN"/>
        </w:rPr>
        <w:t xml:space="preserve"> </w:t>
      </w:r>
      <w:r>
        <w:rPr>
          <w:sz w:val="20"/>
          <w:szCs w:val="20"/>
        </w:rPr>
        <w:t>IPO</w:t>
      </w:r>
      <w:r w:rsidR="00766108">
        <w:rPr>
          <w:rFonts w:hint="eastAsia"/>
          <w:sz w:val="20"/>
          <w:szCs w:val="20"/>
          <w:lang w:eastAsia="zh-CN"/>
        </w:rPr>
        <w:t>-related expenses,</w:t>
      </w:r>
      <w:r>
        <w:rPr>
          <w:sz w:val="20"/>
          <w:szCs w:val="20"/>
        </w:rPr>
        <w:t xml:space="preserve"> one-off expenses</w:t>
      </w:r>
      <w:r>
        <w:rPr>
          <w:sz w:val="20"/>
          <w:szCs w:val="20"/>
          <w:lang w:eastAsia="zh-CN"/>
        </w:rPr>
        <w:t xml:space="preserve"> </w:t>
      </w:r>
      <w:r w:rsidR="00766108">
        <w:rPr>
          <w:rFonts w:hint="eastAsia"/>
          <w:sz w:val="20"/>
          <w:szCs w:val="20"/>
          <w:lang w:eastAsia="zh-CN"/>
        </w:rPr>
        <w:t xml:space="preserve">and </w:t>
      </w:r>
      <w:r w:rsidR="00766108">
        <w:rPr>
          <w:sz w:val="20"/>
          <w:szCs w:val="20"/>
        </w:rPr>
        <w:t xml:space="preserve">share-based compensation </w:t>
      </w:r>
      <w:r>
        <w:rPr>
          <w:sz w:val="20"/>
          <w:szCs w:val="20"/>
          <w:lang w:eastAsia="zh-CN"/>
        </w:rPr>
        <w:t xml:space="preserve">from EBITDA. Adjusted EBITDA for the fourth quarter of 2017 increased by 99.0% </w:t>
      </w:r>
      <w:r w:rsidR="0047065D">
        <w:rPr>
          <w:sz w:val="20"/>
          <w:szCs w:val="20"/>
          <w:lang w:eastAsia="zh-CN"/>
        </w:rPr>
        <w:t>year-over-year</w:t>
      </w:r>
      <w:r>
        <w:rPr>
          <w:sz w:val="20"/>
          <w:szCs w:val="20"/>
          <w:lang w:eastAsia="zh-CN"/>
        </w:rPr>
        <w:t xml:space="preserve"> to RMB 68.1 million (US$</w:t>
      </w:r>
      <w:r w:rsidR="00121BEA">
        <w:rPr>
          <w:rFonts w:hint="eastAsia"/>
          <w:sz w:val="20"/>
          <w:szCs w:val="20"/>
          <w:lang w:eastAsia="zh-CN"/>
        </w:rPr>
        <w:t xml:space="preserve"> </w:t>
      </w:r>
      <w:r>
        <w:rPr>
          <w:sz w:val="20"/>
          <w:szCs w:val="20"/>
          <w:lang w:eastAsia="zh-CN"/>
        </w:rPr>
        <w:t>10.5 million)</w:t>
      </w:r>
      <w:r>
        <w:rPr>
          <w:sz w:val="20"/>
          <w:szCs w:val="20"/>
        </w:rPr>
        <w:t xml:space="preserve"> from RMB 34.2 million in the same period of the prior year. </w:t>
      </w:r>
    </w:p>
    <w:p w:rsidR="000E1E6E" w:rsidRPr="00BC481B" w:rsidRDefault="000E1E6E" w:rsidP="00866CA8">
      <w:pPr>
        <w:pStyle w:val="a3"/>
        <w:spacing w:before="0" w:beforeAutospacing="0" w:after="0" w:afterAutospacing="0"/>
        <w:jc w:val="both"/>
        <w:divId w:val="1081558984"/>
        <w:rPr>
          <w:sz w:val="20"/>
          <w:szCs w:val="20"/>
          <w:lang w:eastAsia="zh-CN"/>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Adjusted EBITDA margin increased to 2</w:t>
      </w:r>
      <w:r>
        <w:rPr>
          <w:sz w:val="20"/>
          <w:szCs w:val="20"/>
          <w:lang w:eastAsia="zh-CN"/>
        </w:rPr>
        <w:t>5.0</w:t>
      </w:r>
      <w:r>
        <w:rPr>
          <w:sz w:val="20"/>
          <w:szCs w:val="20"/>
        </w:rPr>
        <w:t xml:space="preserve">% for the fourth quarter of 2017 from </w:t>
      </w:r>
      <w:r>
        <w:rPr>
          <w:sz w:val="20"/>
          <w:szCs w:val="20"/>
          <w:lang w:eastAsia="zh-CN"/>
        </w:rPr>
        <w:t>17.7</w:t>
      </w:r>
      <w:r>
        <w:rPr>
          <w:sz w:val="20"/>
          <w:szCs w:val="20"/>
        </w:rPr>
        <w:t>% in the same period of the prior year.</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For details on the calculation of and reconciliation to the nearest GAAP measures for each of </w:t>
      </w:r>
      <w:r w:rsidR="00145349">
        <w:rPr>
          <w:sz w:val="20"/>
          <w:szCs w:val="20"/>
        </w:rPr>
        <w:t>non-GAAP</w:t>
      </w:r>
      <w:r>
        <w:rPr>
          <w:sz w:val="20"/>
          <w:szCs w:val="20"/>
        </w:rPr>
        <w:t xml:space="preserve"> net income, EBITDA and adjusted EBITDA, see “About Non-GAAP Financial Measures” and “Reconciliation of GAAP and Non-GAAP Results.”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Net Income</w:t>
      </w:r>
      <w:r w:rsidR="004A17CB">
        <w:rPr>
          <w:rFonts w:hint="eastAsia"/>
          <w:b/>
          <w:bCs/>
          <w:sz w:val="20"/>
          <w:szCs w:val="20"/>
          <w:lang w:eastAsia="zh-CN"/>
        </w:rPr>
        <w:t xml:space="preserve"> / (</w:t>
      </w:r>
      <w:r w:rsidR="004A17CB">
        <w:rPr>
          <w:b/>
          <w:bCs/>
          <w:sz w:val="20"/>
          <w:szCs w:val="20"/>
        </w:rPr>
        <w:t>Loss</w:t>
      </w:r>
      <w:r w:rsidR="004A17CB">
        <w:rPr>
          <w:rFonts w:hint="eastAsia"/>
          <w:b/>
          <w:bCs/>
          <w:sz w:val="20"/>
          <w:szCs w:val="20"/>
          <w:lang w:eastAsia="zh-CN"/>
        </w:rPr>
        <w:t>)</w:t>
      </w:r>
      <w:r>
        <w:rPr>
          <w:b/>
          <w:bCs/>
          <w:sz w:val="20"/>
          <w:szCs w:val="20"/>
        </w:rPr>
        <w:t xml:space="preserve"> per </w:t>
      </w:r>
      <w:r w:rsidR="004A17CB">
        <w:rPr>
          <w:rFonts w:hint="eastAsia"/>
          <w:b/>
          <w:bCs/>
          <w:sz w:val="20"/>
          <w:szCs w:val="20"/>
          <w:lang w:eastAsia="zh-CN"/>
        </w:rPr>
        <w:t xml:space="preserve">Ordinary </w:t>
      </w:r>
      <w:r>
        <w:rPr>
          <w:b/>
          <w:bCs/>
          <w:sz w:val="20"/>
          <w:szCs w:val="20"/>
        </w:rPr>
        <w:t>Share</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Basic and diluted net</w:t>
      </w:r>
      <w:r>
        <w:rPr>
          <w:sz w:val="20"/>
          <w:szCs w:val="20"/>
          <w:lang w:eastAsia="zh-CN"/>
        </w:rPr>
        <w:t xml:space="preserve"> loss</w:t>
      </w:r>
      <w:r>
        <w:rPr>
          <w:sz w:val="20"/>
          <w:szCs w:val="20"/>
        </w:rPr>
        <w:t xml:space="preserve"> per ordinary share attributable to RISE was RMB </w:t>
      </w:r>
      <w:r>
        <w:rPr>
          <w:sz w:val="20"/>
          <w:szCs w:val="20"/>
          <w:lang w:eastAsia="zh-CN"/>
        </w:rPr>
        <w:t>1.28</w:t>
      </w:r>
      <w:r>
        <w:rPr>
          <w:sz w:val="20"/>
          <w:szCs w:val="20"/>
        </w:rPr>
        <w:t xml:space="preserve"> (US$ </w:t>
      </w:r>
      <w:r>
        <w:rPr>
          <w:sz w:val="20"/>
          <w:szCs w:val="20"/>
          <w:lang w:eastAsia="zh-CN"/>
        </w:rPr>
        <w:t>0.20</w:t>
      </w:r>
      <w:r>
        <w:rPr>
          <w:sz w:val="20"/>
          <w:szCs w:val="20"/>
        </w:rPr>
        <w:t xml:space="preserve">) for the fourth quarter of 2017. </w:t>
      </w:r>
      <w:r>
        <w:rPr>
          <w:sz w:val="20"/>
          <w:szCs w:val="20"/>
          <w:lang w:eastAsia="zh-CN"/>
        </w:rPr>
        <w:t xml:space="preserve">Basic and diluted </w:t>
      </w:r>
      <w:r w:rsidR="00145349">
        <w:rPr>
          <w:sz w:val="20"/>
          <w:szCs w:val="20"/>
          <w:lang w:eastAsia="zh-CN"/>
        </w:rPr>
        <w:t>non-GAAP</w:t>
      </w:r>
      <w:r>
        <w:rPr>
          <w:sz w:val="20"/>
          <w:szCs w:val="20"/>
        </w:rPr>
        <w:t xml:space="preserve"> net income per ordinary share attributable to RISE was RMB </w:t>
      </w:r>
      <w:r>
        <w:rPr>
          <w:sz w:val="20"/>
          <w:szCs w:val="20"/>
          <w:lang w:eastAsia="zh-CN"/>
        </w:rPr>
        <w:t>0.27</w:t>
      </w:r>
      <w:r>
        <w:rPr>
          <w:sz w:val="20"/>
          <w:szCs w:val="20"/>
        </w:rPr>
        <w:t xml:space="preserve"> (US$ </w:t>
      </w:r>
      <w:r>
        <w:rPr>
          <w:sz w:val="20"/>
          <w:szCs w:val="20"/>
          <w:lang w:eastAsia="zh-CN"/>
        </w:rPr>
        <w:t>0.04</w:t>
      </w:r>
      <w:r>
        <w:rPr>
          <w:sz w:val="20"/>
          <w:szCs w:val="20"/>
        </w:rPr>
        <w:t xml:space="preserve">) </w:t>
      </w:r>
      <w:r w:rsidR="005E0A61">
        <w:rPr>
          <w:rFonts w:hint="eastAsia"/>
          <w:sz w:val="20"/>
          <w:szCs w:val="20"/>
          <w:lang w:eastAsia="zh-CN"/>
        </w:rPr>
        <w:t xml:space="preserve">and </w:t>
      </w:r>
      <w:r>
        <w:rPr>
          <w:sz w:val="20"/>
          <w:szCs w:val="20"/>
        </w:rPr>
        <w:t xml:space="preserve">RMB </w:t>
      </w:r>
      <w:r>
        <w:rPr>
          <w:sz w:val="20"/>
          <w:szCs w:val="20"/>
          <w:lang w:eastAsia="zh-CN"/>
        </w:rPr>
        <w:t>0.26</w:t>
      </w:r>
      <w:r>
        <w:rPr>
          <w:sz w:val="20"/>
          <w:szCs w:val="20"/>
        </w:rPr>
        <w:t xml:space="preserve"> (US$</w:t>
      </w:r>
      <w:r>
        <w:rPr>
          <w:sz w:val="20"/>
          <w:szCs w:val="20"/>
          <w:lang w:eastAsia="zh-CN"/>
        </w:rPr>
        <w:t xml:space="preserve"> 0.04</w:t>
      </w:r>
      <w:r>
        <w:rPr>
          <w:sz w:val="20"/>
          <w:szCs w:val="20"/>
        </w:rPr>
        <w:t>)</w:t>
      </w:r>
      <w:r w:rsidR="00D25668">
        <w:rPr>
          <w:rFonts w:hint="eastAsia"/>
          <w:sz w:val="20"/>
          <w:szCs w:val="20"/>
          <w:lang w:eastAsia="zh-CN"/>
        </w:rPr>
        <w:t>,</w:t>
      </w:r>
      <w:r>
        <w:rPr>
          <w:sz w:val="20"/>
          <w:szCs w:val="20"/>
          <w:lang w:eastAsia="zh-CN"/>
        </w:rPr>
        <w:t xml:space="preserve"> respectively</w:t>
      </w:r>
      <w:r w:rsidR="005E0A61">
        <w:rPr>
          <w:rFonts w:hint="eastAsia"/>
          <w:sz w:val="20"/>
          <w:szCs w:val="20"/>
          <w:lang w:eastAsia="zh-CN"/>
        </w:rPr>
        <w:t>,</w:t>
      </w:r>
      <w:r>
        <w:rPr>
          <w:sz w:val="20"/>
          <w:szCs w:val="20"/>
          <w:lang w:eastAsia="zh-CN"/>
        </w:rPr>
        <w:t xml:space="preserve"> </w:t>
      </w:r>
      <w:r>
        <w:rPr>
          <w:sz w:val="20"/>
          <w:szCs w:val="20"/>
        </w:rPr>
        <w:t xml:space="preserve">for the fourth quarter of 2017. For details on the calculation of and reconciliation to the nearest GAAP measures for </w:t>
      </w:r>
      <w:r w:rsidR="00145349">
        <w:rPr>
          <w:sz w:val="20"/>
          <w:szCs w:val="20"/>
        </w:rPr>
        <w:t>non-GAAP</w:t>
      </w:r>
      <w:r>
        <w:rPr>
          <w:sz w:val="20"/>
          <w:szCs w:val="20"/>
        </w:rPr>
        <w:t xml:space="preserve"> net income per share, see “About Non-GAAP Financial Measures” and “Reconciliation of GAAP and Non-GAAP Results.”</w:t>
      </w:r>
    </w:p>
    <w:p w:rsidR="00FB2F06" w:rsidRPr="00BC481B" w:rsidRDefault="00592C21" w:rsidP="00866CA8">
      <w:pPr>
        <w:pStyle w:val="a3"/>
        <w:spacing w:before="0" w:beforeAutospacing="0" w:after="0" w:afterAutospacing="0"/>
        <w:jc w:val="both"/>
        <w:divId w:val="1081558984"/>
        <w:rPr>
          <w:sz w:val="20"/>
          <w:szCs w:val="20"/>
        </w:rPr>
      </w:pPr>
      <w:r>
        <w:rPr>
          <w:sz w:val="20"/>
          <w:szCs w:val="20"/>
        </w:rPr>
        <w:t> </w:t>
      </w: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Cash Flow</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Net cash provided by operating activities for the fourth quarter of 2017 was RMB </w:t>
      </w:r>
      <w:r>
        <w:rPr>
          <w:sz w:val="20"/>
          <w:szCs w:val="20"/>
          <w:lang w:eastAsia="zh-CN"/>
        </w:rPr>
        <w:t>19.0</w:t>
      </w:r>
      <w:r>
        <w:rPr>
          <w:sz w:val="20"/>
          <w:szCs w:val="20"/>
        </w:rPr>
        <w:t xml:space="preserve"> million (US$ </w:t>
      </w:r>
      <w:r>
        <w:rPr>
          <w:sz w:val="20"/>
          <w:szCs w:val="20"/>
          <w:lang w:eastAsia="zh-CN"/>
        </w:rPr>
        <w:t>2.9</w:t>
      </w:r>
      <w:r>
        <w:rPr>
          <w:sz w:val="20"/>
          <w:szCs w:val="20"/>
        </w:rPr>
        <w:t xml:space="preserve"> million), as compared </w:t>
      </w:r>
      <w:r w:rsidR="0041570D">
        <w:rPr>
          <w:rFonts w:hint="eastAsia"/>
          <w:sz w:val="20"/>
          <w:szCs w:val="20"/>
          <w:lang w:eastAsia="zh-CN"/>
        </w:rPr>
        <w:t>with</w:t>
      </w:r>
      <w:r w:rsidR="0041570D">
        <w:rPr>
          <w:sz w:val="20"/>
          <w:szCs w:val="20"/>
        </w:rPr>
        <w:t xml:space="preserve"> </w:t>
      </w:r>
      <w:r>
        <w:rPr>
          <w:sz w:val="20"/>
          <w:szCs w:val="20"/>
        </w:rPr>
        <w:t xml:space="preserve">RMB </w:t>
      </w:r>
      <w:r>
        <w:rPr>
          <w:sz w:val="20"/>
          <w:szCs w:val="20"/>
          <w:lang w:eastAsia="zh-CN"/>
        </w:rPr>
        <w:t>37.5</w:t>
      </w:r>
      <w:r>
        <w:rPr>
          <w:sz w:val="20"/>
          <w:szCs w:val="20"/>
        </w:rPr>
        <w:t xml:space="preserve"> million in the same period of the prior year.</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FULL YEAR 2017 FINANCIAL RESULTS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lastRenderedPageBreak/>
        <w:t>Revenues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Total revenues for the full year of 2017 increased by RMB 258.</w:t>
      </w:r>
      <w:r>
        <w:rPr>
          <w:sz w:val="20"/>
          <w:szCs w:val="20"/>
          <w:lang w:eastAsia="zh-CN"/>
        </w:rPr>
        <w:t>3</w:t>
      </w:r>
      <w:r>
        <w:rPr>
          <w:sz w:val="20"/>
          <w:szCs w:val="20"/>
        </w:rPr>
        <w:t xml:space="preserve"> million, or 36.</w:t>
      </w:r>
      <w:r>
        <w:rPr>
          <w:sz w:val="20"/>
          <w:szCs w:val="20"/>
          <w:lang w:eastAsia="zh-CN"/>
        </w:rPr>
        <w:t>3</w:t>
      </w:r>
      <w:r>
        <w:rPr>
          <w:sz w:val="20"/>
          <w:szCs w:val="20"/>
        </w:rPr>
        <w:t>%, to RMB 969.</w:t>
      </w:r>
      <w:r>
        <w:rPr>
          <w:sz w:val="20"/>
          <w:szCs w:val="20"/>
          <w:lang w:eastAsia="zh-CN"/>
        </w:rPr>
        <w:t>3</w:t>
      </w:r>
      <w:r>
        <w:rPr>
          <w:sz w:val="20"/>
          <w:szCs w:val="20"/>
        </w:rPr>
        <w:t xml:space="preserve"> million </w:t>
      </w:r>
      <w:r>
        <w:rPr>
          <w:sz w:val="20"/>
          <w:szCs w:val="20"/>
          <w:lang w:eastAsia="zh-CN"/>
        </w:rPr>
        <w:t xml:space="preserve">(US$ 149.0 million) </w:t>
      </w:r>
      <w:r>
        <w:rPr>
          <w:sz w:val="20"/>
          <w:szCs w:val="20"/>
        </w:rPr>
        <w:t>from RMB 711.0 million in the full year of 2016. This increase was primarily attributable to an increase of RMB 212.8 million in revenues from educational programs.</w:t>
      </w:r>
    </w:p>
    <w:p w:rsidR="00FB2F06" w:rsidRPr="00BC481B" w:rsidRDefault="00FB2F06" w:rsidP="00866CA8">
      <w:pPr>
        <w:pStyle w:val="a3"/>
        <w:spacing w:before="0" w:beforeAutospacing="0" w:after="0" w:afterAutospacing="0"/>
        <w:jc w:val="both"/>
        <w:divId w:val="1081558984"/>
        <w:rPr>
          <w:sz w:val="20"/>
          <w:szCs w:val="20"/>
        </w:rPr>
      </w:pPr>
    </w:p>
    <w:p w:rsidR="00390C09" w:rsidRPr="00BC481B" w:rsidRDefault="00592C21" w:rsidP="00B5188B">
      <w:pPr>
        <w:pStyle w:val="a3"/>
        <w:numPr>
          <w:ilvl w:val="0"/>
          <w:numId w:val="5"/>
        </w:numPr>
        <w:spacing w:before="0" w:beforeAutospacing="0" w:after="0" w:afterAutospacing="0"/>
        <w:jc w:val="both"/>
        <w:divId w:val="1081558984"/>
        <w:rPr>
          <w:sz w:val="20"/>
          <w:szCs w:val="20"/>
        </w:rPr>
      </w:pPr>
      <w:r>
        <w:rPr>
          <w:sz w:val="20"/>
          <w:szCs w:val="20"/>
        </w:rPr>
        <w:t xml:space="preserve">Revenues from educational programs for the full year of 2017 increased by 34.4% to RMB 831.1 million (US$ </w:t>
      </w:r>
      <w:r>
        <w:rPr>
          <w:sz w:val="20"/>
          <w:szCs w:val="20"/>
          <w:lang w:eastAsia="zh-CN"/>
        </w:rPr>
        <w:t>127.7</w:t>
      </w:r>
      <w:r>
        <w:rPr>
          <w:sz w:val="20"/>
          <w:szCs w:val="20"/>
        </w:rPr>
        <w:t xml:space="preserve"> million) from RMB 618.3 million in the full year of 2016. This increase was primarily due to the same factors that led to the quarterly increase. </w:t>
      </w:r>
    </w:p>
    <w:p w:rsidR="00390C09" w:rsidRPr="00BC481B" w:rsidRDefault="00390C09" w:rsidP="00390C09">
      <w:pPr>
        <w:pStyle w:val="a3"/>
        <w:spacing w:before="0" w:beforeAutospacing="0" w:after="0" w:afterAutospacing="0"/>
        <w:ind w:firstLine="45"/>
        <w:jc w:val="both"/>
        <w:divId w:val="1081558984"/>
        <w:rPr>
          <w:sz w:val="20"/>
          <w:szCs w:val="20"/>
        </w:rPr>
      </w:pPr>
    </w:p>
    <w:p w:rsidR="00390C09" w:rsidRPr="00BC481B" w:rsidRDefault="00592C21" w:rsidP="00B5188B">
      <w:pPr>
        <w:pStyle w:val="a3"/>
        <w:numPr>
          <w:ilvl w:val="0"/>
          <w:numId w:val="5"/>
        </w:numPr>
        <w:spacing w:before="0" w:beforeAutospacing="0" w:after="0" w:afterAutospacing="0"/>
        <w:jc w:val="both"/>
        <w:divId w:val="1081558984"/>
        <w:rPr>
          <w:sz w:val="20"/>
          <w:szCs w:val="20"/>
        </w:rPr>
      </w:pPr>
      <w:r>
        <w:rPr>
          <w:sz w:val="20"/>
          <w:szCs w:val="20"/>
        </w:rPr>
        <w:t xml:space="preserve">Franchise revenues for the full year of 2017 increased by 57.4% to RMB 100.0 million (US$ </w:t>
      </w:r>
      <w:r>
        <w:rPr>
          <w:sz w:val="20"/>
          <w:szCs w:val="20"/>
          <w:lang w:eastAsia="zh-CN"/>
        </w:rPr>
        <w:t>15.4</w:t>
      </w:r>
      <w:r>
        <w:rPr>
          <w:sz w:val="20"/>
          <w:szCs w:val="20"/>
        </w:rPr>
        <w:t xml:space="preserve"> million) from RMB 63.5million in the full year of 2016. This increase was primarily due to the same factors that led to the quarterly increase.</w:t>
      </w:r>
    </w:p>
    <w:p w:rsidR="00390C09" w:rsidRPr="00BC481B" w:rsidRDefault="00390C09" w:rsidP="00390C09">
      <w:pPr>
        <w:pStyle w:val="a3"/>
        <w:spacing w:before="0" w:beforeAutospacing="0" w:after="0" w:afterAutospacing="0"/>
        <w:ind w:firstLine="45"/>
        <w:jc w:val="both"/>
        <w:divId w:val="1081558984"/>
        <w:rPr>
          <w:sz w:val="20"/>
          <w:szCs w:val="20"/>
        </w:rPr>
      </w:pPr>
    </w:p>
    <w:p w:rsidR="00390C09" w:rsidRPr="00BC481B" w:rsidRDefault="00592C21" w:rsidP="00B5188B">
      <w:pPr>
        <w:pStyle w:val="a3"/>
        <w:numPr>
          <w:ilvl w:val="0"/>
          <w:numId w:val="5"/>
        </w:numPr>
        <w:spacing w:before="0" w:beforeAutospacing="0" w:after="0" w:afterAutospacing="0"/>
        <w:jc w:val="both"/>
        <w:divId w:val="1081558984"/>
        <w:rPr>
          <w:sz w:val="20"/>
          <w:szCs w:val="20"/>
        </w:rPr>
      </w:pPr>
      <w:r>
        <w:rPr>
          <w:sz w:val="20"/>
          <w:szCs w:val="20"/>
        </w:rPr>
        <w:t>Other revenues for the full year of 2017 increased by 31.</w:t>
      </w:r>
      <w:r>
        <w:rPr>
          <w:sz w:val="20"/>
          <w:szCs w:val="20"/>
          <w:lang w:eastAsia="zh-CN"/>
        </w:rPr>
        <w:t>0</w:t>
      </w:r>
      <w:r>
        <w:rPr>
          <w:sz w:val="20"/>
          <w:szCs w:val="20"/>
        </w:rPr>
        <w:t>% to RMB 38.</w:t>
      </w:r>
      <w:r>
        <w:rPr>
          <w:sz w:val="20"/>
          <w:szCs w:val="20"/>
          <w:lang w:eastAsia="zh-CN"/>
        </w:rPr>
        <w:t xml:space="preserve">2 </w:t>
      </w:r>
      <w:r>
        <w:rPr>
          <w:sz w:val="20"/>
          <w:szCs w:val="20"/>
        </w:rPr>
        <w:t xml:space="preserve">million (US$ </w:t>
      </w:r>
      <w:r>
        <w:rPr>
          <w:sz w:val="20"/>
          <w:szCs w:val="20"/>
          <w:lang w:eastAsia="zh-CN"/>
        </w:rPr>
        <w:t>5.9</w:t>
      </w:r>
      <w:r>
        <w:rPr>
          <w:sz w:val="20"/>
          <w:szCs w:val="20"/>
        </w:rPr>
        <w:t xml:space="preserve"> million) from RMB 29.1 million in the full year of 2016. The increase was primarily due to the same factors that led to the quarterly increase.</w:t>
      </w:r>
    </w:p>
    <w:p w:rsidR="009B5770" w:rsidRPr="00BC481B" w:rsidRDefault="009B5770" w:rsidP="00866CA8">
      <w:pPr>
        <w:pStyle w:val="a3"/>
        <w:spacing w:before="0" w:beforeAutospacing="0" w:after="0" w:afterAutospacing="0"/>
        <w:jc w:val="both"/>
        <w:divId w:val="1081558984"/>
        <w:rPr>
          <w:sz w:val="20"/>
          <w:szCs w:val="20"/>
          <w:lang w:eastAsia="zh-CN"/>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Cost of Revenues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Cost of revenues for the full year of 2017 increased by RMB 88.</w:t>
      </w:r>
      <w:r>
        <w:rPr>
          <w:sz w:val="20"/>
          <w:szCs w:val="20"/>
          <w:lang w:eastAsia="zh-CN"/>
        </w:rPr>
        <w:t>6</w:t>
      </w:r>
      <w:r>
        <w:rPr>
          <w:sz w:val="20"/>
          <w:szCs w:val="20"/>
        </w:rPr>
        <w:t xml:space="preserve"> million, or 24.</w:t>
      </w:r>
      <w:r>
        <w:rPr>
          <w:sz w:val="20"/>
          <w:szCs w:val="20"/>
          <w:lang w:eastAsia="zh-CN"/>
        </w:rPr>
        <w:t>4</w:t>
      </w:r>
      <w:r>
        <w:rPr>
          <w:sz w:val="20"/>
          <w:szCs w:val="20"/>
        </w:rPr>
        <w:t>%, to RMB 45</w:t>
      </w:r>
      <w:r>
        <w:rPr>
          <w:sz w:val="20"/>
          <w:szCs w:val="20"/>
          <w:lang w:eastAsia="zh-CN"/>
        </w:rPr>
        <w:t>2.2</w:t>
      </w:r>
      <w:r>
        <w:rPr>
          <w:sz w:val="20"/>
          <w:szCs w:val="20"/>
        </w:rPr>
        <w:t xml:space="preserve"> million (US$ </w:t>
      </w:r>
      <w:r>
        <w:rPr>
          <w:sz w:val="20"/>
          <w:szCs w:val="20"/>
          <w:lang w:eastAsia="zh-CN"/>
        </w:rPr>
        <w:t>69.5</w:t>
      </w:r>
      <w:r>
        <w:rPr>
          <w:sz w:val="20"/>
          <w:szCs w:val="20"/>
        </w:rPr>
        <w:t xml:space="preserve"> million) from RMB 363.6 million in the full year of 2016, which was primarily due to the increase in rental costs and personnel costs. Rental costs increased as the Company expanded its operations. The increase in personnel costs was primarily attributable to an increase in teaching hours at self-owned learning centers. This increase was partially offset by a decrease in amortization expenses related to certain intangible assets acquired as part of the acquisition</w:t>
      </w:r>
      <w:r w:rsidR="00D363CE">
        <w:rPr>
          <w:rFonts w:hint="eastAsia"/>
          <w:sz w:val="20"/>
          <w:szCs w:val="20"/>
          <w:lang w:eastAsia="zh-CN"/>
        </w:rPr>
        <w:t xml:space="preserve"> of </w:t>
      </w:r>
      <w:r w:rsidR="00BE54CB">
        <w:rPr>
          <w:rFonts w:hint="eastAsia"/>
          <w:sz w:val="20"/>
          <w:szCs w:val="20"/>
          <w:lang w:eastAsia="zh-CN"/>
        </w:rPr>
        <w:t>the Company</w:t>
      </w:r>
      <w:r w:rsidR="00BE54CB">
        <w:rPr>
          <w:sz w:val="20"/>
          <w:szCs w:val="20"/>
          <w:lang w:eastAsia="zh-CN"/>
        </w:rPr>
        <w:t>’</w:t>
      </w:r>
      <w:r w:rsidR="00BE54CB">
        <w:rPr>
          <w:rFonts w:hint="eastAsia"/>
          <w:sz w:val="20"/>
          <w:szCs w:val="20"/>
          <w:lang w:eastAsia="zh-CN"/>
        </w:rPr>
        <w:t xml:space="preserve">s </w:t>
      </w:r>
      <w:r w:rsidR="00D363CE">
        <w:rPr>
          <w:rFonts w:hint="eastAsia"/>
          <w:sz w:val="20"/>
          <w:szCs w:val="20"/>
          <w:lang w:eastAsia="zh-CN"/>
        </w:rPr>
        <w:t xml:space="preserve">business by </w:t>
      </w:r>
      <w:r w:rsidR="004C78F9">
        <w:rPr>
          <w:rFonts w:hint="eastAsia"/>
          <w:sz w:val="20"/>
          <w:szCs w:val="20"/>
          <w:lang w:eastAsia="zh-CN"/>
        </w:rPr>
        <w:t>its</w:t>
      </w:r>
      <w:r w:rsidR="00D25668">
        <w:rPr>
          <w:rFonts w:hint="eastAsia"/>
          <w:sz w:val="20"/>
          <w:szCs w:val="20"/>
          <w:lang w:eastAsia="zh-CN"/>
        </w:rPr>
        <w:t xml:space="preserve"> current holding company</w:t>
      </w:r>
      <w:r w:rsidR="00D363CE">
        <w:rPr>
          <w:rFonts w:hint="eastAsia"/>
          <w:sz w:val="20"/>
          <w:szCs w:val="20"/>
          <w:lang w:eastAsia="zh-CN"/>
        </w:rPr>
        <w:t xml:space="preserve"> in 2013</w:t>
      </w:r>
      <w:r>
        <w:rPr>
          <w:sz w:val="20"/>
          <w:szCs w:val="20"/>
        </w:rPr>
        <w:t xml:space="preserve">, of which the Company recorded RMB </w:t>
      </w:r>
      <w:r w:rsidR="00C1671E" w:rsidRPr="00C1671E">
        <w:rPr>
          <w:sz w:val="20"/>
          <w:szCs w:val="20"/>
          <w:lang w:eastAsia="zh-CN"/>
        </w:rPr>
        <w:t>13.9</w:t>
      </w:r>
      <w:r w:rsidR="00C1671E" w:rsidRPr="00C1671E">
        <w:rPr>
          <w:sz w:val="20"/>
          <w:szCs w:val="20"/>
        </w:rPr>
        <w:t xml:space="preserve"> million (US$ </w:t>
      </w:r>
      <w:r w:rsidR="00C1671E" w:rsidRPr="00C1671E">
        <w:rPr>
          <w:sz w:val="20"/>
          <w:szCs w:val="20"/>
          <w:lang w:eastAsia="zh-CN"/>
        </w:rPr>
        <w:t>2.1</w:t>
      </w:r>
      <w:r w:rsidR="00C1671E" w:rsidRPr="00C1671E">
        <w:rPr>
          <w:sz w:val="20"/>
          <w:szCs w:val="20"/>
        </w:rPr>
        <w:t xml:space="preserve"> million) for the full year of 2017 compared </w:t>
      </w:r>
      <w:r w:rsidR="00D7106C">
        <w:rPr>
          <w:rFonts w:hint="eastAsia"/>
          <w:sz w:val="20"/>
          <w:szCs w:val="20"/>
          <w:lang w:eastAsia="zh-CN"/>
        </w:rPr>
        <w:t>with</w:t>
      </w:r>
      <w:r w:rsidR="00D7106C" w:rsidRPr="00C1671E">
        <w:rPr>
          <w:sz w:val="20"/>
          <w:szCs w:val="20"/>
        </w:rPr>
        <w:t xml:space="preserve"> </w:t>
      </w:r>
      <w:r w:rsidR="00C1671E" w:rsidRPr="00C1671E">
        <w:rPr>
          <w:sz w:val="20"/>
          <w:szCs w:val="20"/>
        </w:rPr>
        <w:t xml:space="preserve">RMB </w:t>
      </w:r>
      <w:r w:rsidR="00C1671E" w:rsidRPr="00C1671E">
        <w:rPr>
          <w:sz w:val="20"/>
          <w:szCs w:val="20"/>
          <w:lang w:eastAsia="zh-CN"/>
        </w:rPr>
        <w:t>34.2</w:t>
      </w:r>
      <w:r w:rsidR="00C1671E" w:rsidRPr="00C1671E">
        <w:rPr>
          <w:sz w:val="20"/>
          <w:szCs w:val="20"/>
        </w:rPr>
        <w:t xml:space="preserve"> million for the full year of 2016.</w:t>
      </w:r>
      <w:r w:rsidR="000417AC" w:rsidRPr="00BC481B">
        <w:rPr>
          <w:sz w:val="20"/>
          <w:szCs w:val="20"/>
        </w:rPr>
        <w:t xml:space="preserve"> In addition, cost of revenues for the full year of 2017 included share-based compensation of RM</w:t>
      </w:r>
      <w:r>
        <w:rPr>
          <w:sz w:val="20"/>
          <w:szCs w:val="20"/>
        </w:rPr>
        <w:t>B 17.</w:t>
      </w:r>
      <w:r>
        <w:rPr>
          <w:sz w:val="20"/>
          <w:szCs w:val="20"/>
          <w:lang w:eastAsia="zh-CN"/>
        </w:rPr>
        <w:t>1</w:t>
      </w:r>
      <w:r>
        <w:rPr>
          <w:sz w:val="20"/>
          <w:szCs w:val="20"/>
        </w:rPr>
        <w:t xml:space="preserve"> million (US$ </w:t>
      </w:r>
      <w:r>
        <w:rPr>
          <w:sz w:val="20"/>
          <w:szCs w:val="20"/>
          <w:lang w:eastAsia="zh-CN"/>
        </w:rPr>
        <w:t>2.6</w:t>
      </w:r>
      <w:r>
        <w:rPr>
          <w:sz w:val="20"/>
          <w:szCs w:val="20"/>
        </w:rPr>
        <w:t xml:space="preserve"> million), as a result of the Company’s initial public offering in the </w:t>
      </w:r>
      <w:r w:rsidR="004D0929">
        <w:rPr>
          <w:sz w:val="20"/>
          <w:szCs w:val="20"/>
        </w:rPr>
        <w:t>fourth</w:t>
      </w:r>
      <w:r w:rsidR="005F7AE4">
        <w:rPr>
          <w:rFonts w:hint="eastAsia"/>
          <w:sz w:val="20"/>
          <w:szCs w:val="20"/>
          <w:lang w:eastAsia="zh-CN"/>
        </w:rPr>
        <w:t xml:space="preserve"> </w:t>
      </w:r>
      <w:r>
        <w:rPr>
          <w:sz w:val="20"/>
          <w:szCs w:val="20"/>
        </w:rPr>
        <w:t>quarter of 2017.</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Gross Profit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sz w:val="20"/>
          <w:szCs w:val="20"/>
        </w:rPr>
        <w:t>Gross profit for the full year of 2017 increased by RMB 1</w:t>
      </w:r>
      <w:r>
        <w:rPr>
          <w:sz w:val="20"/>
          <w:szCs w:val="20"/>
          <w:lang w:eastAsia="zh-CN"/>
        </w:rPr>
        <w:t>69.6</w:t>
      </w:r>
      <w:r>
        <w:rPr>
          <w:sz w:val="20"/>
          <w:szCs w:val="20"/>
        </w:rPr>
        <w:t xml:space="preserve"> million, or 4</w:t>
      </w:r>
      <w:r>
        <w:rPr>
          <w:sz w:val="20"/>
          <w:szCs w:val="20"/>
          <w:lang w:eastAsia="zh-CN"/>
        </w:rPr>
        <w:t>8.8</w:t>
      </w:r>
      <w:r>
        <w:rPr>
          <w:sz w:val="20"/>
          <w:szCs w:val="20"/>
        </w:rPr>
        <w:t>%, to RMB 517.</w:t>
      </w:r>
      <w:r>
        <w:rPr>
          <w:sz w:val="20"/>
          <w:szCs w:val="20"/>
          <w:lang w:eastAsia="zh-CN"/>
        </w:rPr>
        <w:t>1</w:t>
      </w:r>
      <w:r>
        <w:rPr>
          <w:sz w:val="20"/>
          <w:szCs w:val="20"/>
        </w:rPr>
        <w:t xml:space="preserve"> million (US$ </w:t>
      </w:r>
      <w:r>
        <w:rPr>
          <w:sz w:val="20"/>
          <w:szCs w:val="20"/>
          <w:lang w:eastAsia="zh-CN"/>
        </w:rPr>
        <w:t>79.5</w:t>
      </w:r>
      <w:r>
        <w:rPr>
          <w:sz w:val="20"/>
          <w:szCs w:val="20"/>
        </w:rPr>
        <w:t xml:space="preserve"> million) from RMB 347.4 million in the full year of 2016. Gross margin increased to 53.</w:t>
      </w:r>
      <w:r>
        <w:rPr>
          <w:sz w:val="20"/>
          <w:szCs w:val="20"/>
          <w:lang w:eastAsia="zh-CN"/>
        </w:rPr>
        <w:t>3</w:t>
      </w:r>
      <w:r>
        <w:rPr>
          <w:sz w:val="20"/>
          <w:szCs w:val="20"/>
        </w:rPr>
        <w:t>% for the full year of 2017 from 48.9% in the prior year. The increase in the gross margin was primarily attributable to the improvement in operating efficiencies and the decrease in amortization expenses.</w:t>
      </w:r>
      <w:r w:rsidR="000417AC" w:rsidRPr="00BC481B">
        <w:rPr>
          <w:sz w:val="20"/>
          <w:szCs w:val="20"/>
        </w:rPr>
        <w:t xml:space="preserve"> Excluding the impact of share-based compensation, </w:t>
      </w:r>
      <w:r w:rsidR="00145349">
        <w:rPr>
          <w:sz w:val="20"/>
          <w:szCs w:val="20"/>
        </w:rPr>
        <w:t>non-GAAP</w:t>
      </w:r>
      <w:r>
        <w:rPr>
          <w:sz w:val="20"/>
          <w:szCs w:val="20"/>
        </w:rPr>
        <w:t xml:space="preserve"> gross profit for the full year of 2017 was RMB 534.</w:t>
      </w:r>
      <w:r>
        <w:rPr>
          <w:sz w:val="20"/>
          <w:szCs w:val="20"/>
          <w:lang w:eastAsia="zh-CN"/>
        </w:rPr>
        <w:t>1</w:t>
      </w:r>
      <w:r>
        <w:rPr>
          <w:sz w:val="20"/>
          <w:szCs w:val="20"/>
        </w:rPr>
        <w:t xml:space="preserve"> million (US$ </w:t>
      </w:r>
      <w:r>
        <w:rPr>
          <w:sz w:val="20"/>
          <w:szCs w:val="20"/>
          <w:lang w:eastAsia="zh-CN"/>
        </w:rPr>
        <w:t>82.1</w:t>
      </w:r>
      <w:r>
        <w:rPr>
          <w:sz w:val="20"/>
          <w:szCs w:val="20"/>
        </w:rPr>
        <w:t xml:space="preserve"> million)</w:t>
      </w:r>
      <w:r w:rsidR="00BE54CB">
        <w:rPr>
          <w:rFonts w:hint="eastAsia"/>
          <w:sz w:val="20"/>
          <w:szCs w:val="20"/>
          <w:lang w:eastAsia="zh-CN"/>
        </w:rPr>
        <w:t>,</w:t>
      </w:r>
      <w:r>
        <w:rPr>
          <w:sz w:val="20"/>
          <w:szCs w:val="20"/>
        </w:rPr>
        <w:t xml:space="preserve"> and </w:t>
      </w:r>
      <w:r w:rsidR="00145349">
        <w:rPr>
          <w:sz w:val="20"/>
          <w:szCs w:val="20"/>
        </w:rPr>
        <w:t>non-GAAP</w:t>
      </w:r>
      <w:r>
        <w:rPr>
          <w:sz w:val="20"/>
          <w:szCs w:val="20"/>
        </w:rPr>
        <w:t xml:space="preserve"> gross margin was 5</w:t>
      </w:r>
      <w:r>
        <w:rPr>
          <w:sz w:val="20"/>
          <w:szCs w:val="20"/>
          <w:lang w:eastAsia="zh-CN"/>
        </w:rPr>
        <w:t>5.1</w:t>
      </w:r>
      <w:r>
        <w:rPr>
          <w:sz w:val="20"/>
          <w:szCs w:val="20"/>
        </w:rPr>
        <w: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b/>
          <w:bCs/>
          <w:sz w:val="20"/>
          <w:szCs w:val="20"/>
        </w:rPr>
        <w:t xml:space="preserve">Operating Expenses and </w:t>
      </w:r>
      <w:r w:rsidR="0086718B">
        <w:rPr>
          <w:rFonts w:hint="eastAsia"/>
          <w:b/>
          <w:bCs/>
          <w:sz w:val="20"/>
          <w:szCs w:val="20"/>
          <w:lang w:eastAsia="zh-CN"/>
        </w:rPr>
        <w:t xml:space="preserve">Operating </w:t>
      </w:r>
      <w:r>
        <w:rPr>
          <w:b/>
          <w:bCs/>
          <w:sz w:val="20"/>
          <w:szCs w:val="20"/>
        </w:rPr>
        <w:t>Income</w:t>
      </w:r>
      <w:r w:rsidR="004A17CB">
        <w:rPr>
          <w:rFonts w:hint="eastAsia"/>
          <w:b/>
          <w:bCs/>
          <w:sz w:val="20"/>
          <w:szCs w:val="20"/>
          <w:lang w:eastAsia="zh-CN"/>
        </w:rPr>
        <w:t xml:space="preserve"> </w:t>
      </w:r>
      <w:r w:rsidR="0086718B">
        <w:rPr>
          <w:rFonts w:hint="eastAsia"/>
          <w:b/>
          <w:bCs/>
          <w:sz w:val="20"/>
          <w:szCs w:val="20"/>
          <w:lang w:eastAsia="zh-CN"/>
        </w:rPr>
        <w:t>/</w:t>
      </w:r>
      <w:r w:rsidR="004A17CB">
        <w:rPr>
          <w:rFonts w:hint="eastAsia"/>
          <w:b/>
          <w:bCs/>
          <w:sz w:val="20"/>
          <w:szCs w:val="20"/>
          <w:lang w:eastAsia="zh-CN"/>
        </w:rPr>
        <w:t xml:space="preserve"> </w:t>
      </w:r>
      <w:r w:rsidR="0086718B">
        <w:rPr>
          <w:rFonts w:hint="eastAsia"/>
          <w:b/>
          <w:bCs/>
          <w:sz w:val="20"/>
          <w:szCs w:val="20"/>
          <w:lang w:eastAsia="zh-CN"/>
        </w:rPr>
        <w:t>(Loss)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Total operating expenses for the full year of 2017 </w:t>
      </w:r>
      <w:r>
        <w:rPr>
          <w:sz w:val="20"/>
          <w:szCs w:val="20"/>
          <w:lang w:eastAsia="zh-CN"/>
        </w:rPr>
        <w:t>increased by RMB 241.1 million, or 87.2%</w:t>
      </w:r>
      <w:r w:rsidR="00A31987">
        <w:rPr>
          <w:rFonts w:hint="eastAsia"/>
          <w:sz w:val="20"/>
          <w:szCs w:val="20"/>
          <w:lang w:eastAsia="zh-CN"/>
        </w:rPr>
        <w:t>,</w:t>
      </w:r>
      <w:r>
        <w:rPr>
          <w:sz w:val="20"/>
          <w:szCs w:val="20"/>
          <w:lang w:eastAsia="zh-CN"/>
        </w:rPr>
        <w:t xml:space="preserve"> to</w:t>
      </w:r>
      <w:r>
        <w:rPr>
          <w:sz w:val="20"/>
          <w:szCs w:val="20"/>
        </w:rPr>
        <w:t xml:space="preserve"> RMB 51</w:t>
      </w:r>
      <w:r>
        <w:rPr>
          <w:sz w:val="20"/>
          <w:szCs w:val="20"/>
          <w:lang w:eastAsia="zh-CN"/>
        </w:rPr>
        <w:t>7</w:t>
      </w:r>
      <w:r>
        <w:rPr>
          <w:sz w:val="20"/>
          <w:szCs w:val="20"/>
        </w:rPr>
        <w:t>.</w:t>
      </w:r>
      <w:r>
        <w:rPr>
          <w:sz w:val="20"/>
          <w:szCs w:val="20"/>
          <w:lang w:eastAsia="zh-CN"/>
        </w:rPr>
        <w:t>7</w:t>
      </w:r>
      <w:r>
        <w:rPr>
          <w:sz w:val="20"/>
          <w:szCs w:val="20"/>
        </w:rPr>
        <w:t xml:space="preserve"> million</w:t>
      </w:r>
      <w:r>
        <w:rPr>
          <w:sz w:val="20"/>
          <w:szCs w:val="20"/>
          <w:lang w:eastAsia="zh-CN"/>
        </w:rPr>
        <w:t>,</w:t>
      </w:r>
      <w:r>
        <w:rPr>
          <w:sz w:val="20"/>
          <w:szCs w:val="20"/>
        </w:rPr>
        <w:t xml:space="preserve"> compared to RMB 276.6 million in the full year of 2016. </w:t>
      </w:r>
      <w:r>
        <w:rPr>
          <w:sz w:val="20"/>
          <w:szCs w:val="20"/>
          <w:lang w:eastAsia="zh-CN"/>
        </w:rPr>
        <w:t>Excluding the impact of IPO</w:t>
      </w:r>
      <w:r w:rsidR="00766108">
        <w:rPr>
          <w:rFonts w:hint="eastAsia"/>
          <w:sz w:val="20"/>
          <w:szCs w:val="20"/>
          <w:lang w:eastAsia="zh-CN"/>
        </w:rPr>
        <w:t>-related expenses,</w:t>
      </w:r>
      <w:r>
        <w:rPr>
          <w:sz w:val="20"/>
          <w:szCs w:val="20"/>
          <w:lang w:eastAsia="zh-CN"/>
        </w:rPr>
        <w:t xml:space="preserve"> one-off expenses </w:t>
      </w:r>
      <w:r w:rsidR="00766108">
        <w:rPr>
          <w:rFonts w:hint="eastAsia"/>
          <w:sz w:val="20"/>
          <w:szCs w:val="20"/>
          <w:lang w:eastAsia="zh-CN"/>
        </w:rPr>
        <w:t xml:space="preserve">and </w:t>
      </w:r>
      <w:r w:rsidR="00766108">
        <w:rPr>
          <w:sz w:val="20"/>
          <w:szCs w:val="20"/>
          <w:lang w:eastAsia="zh-CN"/>
        </w:rPr>
        <w:t>share-based compensation</w:t>
      </w:r>
      <w:r w:rsidR="00766108">
        <w:rPr>
          <w:rFonts w:hint="eastAsia"/>
          <w:sz w:val="20"/>
          <w:szCs w:val="20"/>
          <w:lang w:eastAsia="zh-CN"/>
        </w:rPr>
        <w:t>, non-GAAP</w:t>
      </w:r>
      <w:r w:rsidR="00766108">
        <w:rPr>
          <w:sz w:val="20"/>
          <w:szCs w:val="20"/>
          <w:lang w:eastAsia="zh-CN"/>
        </w:rPr>
        <w:t xml:space="preserve"> </w:t>
      </w:r>
      <w:r>
        <w:rPr>
          <w:sz w:val="20"/>
          <w:szCs w:val="20"/>
          <w:lang w:eastAsia="zh-CN"/>
        </w:rPr>
        <w:t xml:space="preserve">operating expenses for the full year of 2017 was RMB 348.3 million (US$ 53.5 million). As a percentage of total revenues, </w:t>
      </w:r>
      <w:r w:rsidR="00145349">
        <w:rPr>
          <w:sz w:val="20"/>
          <w:szCs w:val="20"/>
          <w:lang w:eastAsia="zh-CN"/>
        </w:rPr>
        <w:t>non-GAAP</w:t>
      </w:r>
      <w:r>
        <w:rPr>
          <w:sz w:val="20"/>
          <w:szCs w:val="20"/>
          <w:lang w:eastAsia="zh-CN"/>
        </w:rPr>
        <w:t xml:space="preserve"> operating expenses decreased to 35.9% in the full year of 2017 from 38.9% in the same period of the prior year.</w:t>
      </w:r>
    </w:p>
    <w:p w:rsidR="00FB2F06" w:rsidRPr="00BC481B" w:rsidRDefault="00FB2F06" w:rsidP="00866CA8">
      <w:pPr>
        <w:pStyle w:val="a3"/>
        <w:spacing w:before="0" w:beforeAutospacing="0" w:after="0" w:afterAutospacing="0"/>
        <w:jc w:val="both"/>
        <w:divId w:val="1081558984"/>
        <w:rPr>
          <w:sz w:val="20"/>
          <w:szCs w:val="20"/>
        </w:rPr>
      </w:pPr>
    </w:p>
    <w:p w:rsidR="00156BDF" w:rsidRPr="008066E8" w:rsidRDefault="00592C21" w:rsidP="00B5188B">
      <w:pPr>
        <w:pStyle w:val="a3"/>
        <w:numPr>
          <w:ilvl w:val="0"/>
          <w:numId w:val="6"/>
        </w:numPr>
        <w:spacing w:before="0" w:beforeAutospacing="0" w:after="0" w:afterAutospacing="0"/>
        <w:jc w:val="both"/>
        <w:divId w:val="1081558984"/>
        <w:rPr>
          <w:sz w:val="20"/>
          <w:szCs w:val="20"/>
        </w:rPr>
      </w:pPr>
      <w:r w:rsidRPr="008066E8">
        <w:rPr>
          <w:sz w:val="20"/>
          <w:szCs w:val="20"/>
        </w:rPr>
        <w:t>Selling and marketing expenses for the full year of 2017 was RMB 17</w:t>
      </w:r>
      <w:r w:rsidRPr="008066E8">
        <w:rPr>
          <w:sz w:val="20"/>
          <w:szCs w:val="20"/>
          <w:lang w:eastAsia="zh-CN"/>
        </w:rPr>
        <w:t>8.0</w:t>
      </w:r>
      <w:r w:rsidRPr="008066E8">
        <w:rPr>
          <w:sz w:val="20"/>
          <w:szCs w:val="20"/>
        </w:rPr>
        <w:t xml:space="preserve"> million (US$ </w:t>
      </w:r>
      <w:r w:rsidRPr="008066E8">
        <w:rPr>
          <w:sz w:val="20"/>
          <w:szCs w:val="20"/>
          <w:lang w:eastAsia="zh-CN"/>
        </w:rPr>
        <w:t>27.4</w:t>
      </w:r>
      <w:r w:rsidRPr="008066E8">
        <w:rPr>
          <w:sz w:val="20"/>
          <w:szCs w:val="20"/>
        </w:rPr>
        <w:t xml:space="preserve"> million), including RMB</w:t>
      </w:r>
      <w:r w:rsidR="00121BEA" w:rsidRPr="008066E8">
        <w:rPr>
          <w:rFonts w:hint="eastAsia"/>
          <w:sz w:val="20"/>
          <w:szCs w:val="20"/>
          <w:lang w:eastAsia="zh-CN"/>
        </w:rPr>
        <w:t xml:space="preserve"> </w:t>
      </w:r>
      <w:r w:rsidRPr="008066E8">
        <w:rPr>
          <w:sz w:val="20"/>
          <w:szCs w:val="20"/>
        </w:rPr>
        <w:t xml:space="preserve">9.0 million (US$ </w:t>
      </w:r>
      <w:r w:rsidRPr="008066E8">
        <w:rPr>
          <w:sz w:val="20"/>
          <w:szCs w:val="20"/>
          <w:lang w:eastAsia="zh-CN"/>
        </w:rPr>
        <w:t>1.4</w:t>
      </w:r>
      <w:r w:rsidRPr="008066E8">
        <w:rPr>
          <w:sz w:val="20"/>
          <w:szCs w:val="20"/>
        </w:rPr>
        <w:t xml:space="preserve"> million) of share-based compensation, compared with RMB 128.5 million in the prior year. As a percentage of total </w:t>
      </w:r>
      <w:r w:rsidR="00F26043">
        <w:rPr>
          <w:sz w:val="20"/>
          <w:szCs w:val="20"/>
        </w:rPr>
        <w:t xml:space="preserve">revenues, </w:t>
      </w:r>
      <w:r w:rsidR="00F26043">
        <w:rPr>
          <w:sz w:val="20"/>
          <w:szCs w:val="20"/>
          <w:lang w:eastAsia="zh-CN"/>
        </w:rPr>
        <w:t xml:space="preserve">non-GAAP </w:t>
      </w:r>
      <w:r w:rsidR="00F26043">
        <w:rPr>
          <w:sz w:val="20"/>
          <w:szCs w:val="20"/>
        </w:rPr>
        <w:t xml:space="preserve">selling and marketing expenses </w:t>
      </w:r>
      <w:r w:rsidR="00F26043">
        <w:rPr>
          <w:sz w:val="20"/>
          <w:szCs w:val="20"/>
          <w:lang w:eastAsia="zh-CN"/>
        </w:rPr>
        <w:t>decreased to</w:t>
      </w:r>
      <w:r w:rsidR="00F26043">
        <w:rPr>
          <w:sz w:val="20"/>
          <w:szCs w:val="20"/>
        </w:rPr>
        <w:t xml:space="preserve"> 1</w:t>
      </w:r>
      <w:r w:rsidR="00F26043">
        <w:rPr>
          <w:sz w:val="20"/>
          <w:szCs w:val="20"/>
          <w:lang w:eastAsia="zh-CN"/>
        </w:rPr>
        <w:t>7</w:t>
      </w:r>
      <w:r w:rsidR="00F26043">
        <w:rPr>
          <w:sz w:val="20"/>
          <w:szCs w:val="20"/>
        </w:rPr>
        <w:t>.</w:t>
      </w:r>
      <w:r w:rsidR="00F26043">
        <w:rPr>
          <w:sz w:val="20"/>
          <w:szCs w:val="20"/>
          <w:lang w:eastAsia="zh-CN"/>
        </w:rPr>
        <w:t>4</w:t>
      </w:r>
      <w:r w:rsidR="00F26043">
        <w:rPr>
          <w:sz w:val="20"/>
          <w:szCs w:val="20"/>
        </w:rPr>
        <w:t>% in the full year of 2017</w:t>
      </w:r>
      <w:r w:rsidR="00F26043">
        <w:rPr>
          <w:sz w:val="20"/>
          <w:szCs w:val="20"/>
          <w:lang w:eastAsia="zh-CN"/>
        </w:rPr>
        <w:t xml:space="preserve"> from 18.</w:t>
      </w:r>
      <w:r w:rsidR="005C565B" w:rsidRPr="005C565B">
        <w:rPr>
          <w:sz w:val="20"/>
          <w:szCs w:val="20"/>
          <w:lang w:eastAsia="zh-CN"/>
        </w:rPr>
        <w:t>1</w:t>
      </w:r>
      <w:r w:rsidRPr="008066E8">
        <w:rPr>
          <w:sz w:val="20"/>
          <w:szCs w:val="20"/>
          <w:lang w:eastAsia="zh-CN"/>
        </w:rPr>
        <w:t xml:space="preserve">% in the full year </w:t>
      </w:r>
      <w:r w:rsidR="00F26043">
        <w:rPr>
          <w:sz w:val="20"/>
          <w:szCs w:val="20"/>
        </w:rPr>
        <w:t>of 2016.</w:t>
      </w:r>
    </w:p>
    <w:p w:rsidR="00156BDF" w:rsidRPr="00BC481B" w:rsidRDefault="00156BDF" w:rsidP="00866CA8">
      <w:pPr>
        <w:pStyle w:val="a3"/>
        <w:spacing w:before="0" w:beforeAutospacing="0" w:after="0" w:afterAutospacing="0"/>
        <w:jc w:val="both"/>
        <w:divId w:val="1081558984"/>
        <w:rPr>
          <w:sz w:val="20"/>
          <w:szCs w:val="20"/>
        </w:rPr>
      </w:pPr>
    </w:p>
    <w:p w:rsidR="00FB2F06" w:rsidRPr="00BC481B" w:rsidRDefault="00592C21" w:rsidP="00B5188B">
      <w:pPr>
        <w:pStyle w:val="a3"/>
        <w:numPr>
          <w:ilvl w:val="0"/>
          <w:numId w:val="6"/>
        </w:numPr>
        <w:spacing w:before="0" w:beforeAutospacing="0" w:after="0" w:afterAutospacing="0"/>
        <w:jc w:val="both"/>
        <w:divId w:val="1081558984"/>
        <w:rPr>
          <w:sz w:val="20"/>
          <w:szCs w:val="20"/>
        </w:rPr>
      </w:pPr>
      <w:r>
        <w:rPr>
          <w:sz w:val="20"/>
          <w:szCs w:val="20"/>
        </w:rPr>
        <w:t xml:space="preserve">General and administrative expenses for the full year of 2017 </w:t>
      </w:r>
      <w:r>
        <w:rPr>
          <w:sz w:val="20"/>
          <w:szCs w:val="20"/>
          <w:lang w:eastAsia="zh-CN"/>
        </w:rPr>
        <w:t>increased to</w:t>
      </w:r>
      <w:r>
        <w:rPr>
          <w:sz w:val="20"/>
          <w:szCs w:val="20"/>
        </w:rPr>
        <w:t xml:space="preserve"> RMB 33</w:t>
      </w:r>
      <w:r>
        <w:rPr>
          <w:sz w:val="20"/>
          <w:szCs w:val="20"/>
          <w:lang w:eastAsia="zh-CN"/>
        </w:rPr>
        <w:t>9.7</w:t>
      </w:r>
      <w:r>
        <w:rPr>
          <w:sz w:val="20"/>
          <w:szCs w:val="20"/>
        </w:rPr>
        <w:t xml:space="preserve"> million (US$ </w:t>
      </w:r>
      <w:r>
        <w:rPr>
          <w:sz w:val="20"/>
          <w:szCs w:val="20"/>
          <w:lang w:eastAsia="zh-CN"/>
        </w:rPr>
        <w:t>52.2</w:t>
      </w:r>
      <w:r>
        <w:rPr>
          <w:sz w:val="20"/>
          <w:szCs w:val="20"/>
        </w:rPr>
        <w:t xml:space="preserve"> million) </w:t>
      </w:r>
      <w:r>
        <w:rPr>
          <w:sz w:val="20"/>
          <w:szCs w:val="20"/>
          <w:lang w:eastAsia="zh-CN"/>
        </w:rPr>
        <w:t>from</w:t>
      </w:r>
      <w:r>
        <w:rPr>
          <w:sz w:val="20"/>
          <w:szCs w:val="20"/>
        </w:rPr>
        <w:t xml:space="preserve"> RMB 148.1 million in the </w:t>
      </w:r>
      <w:r>
        <w:rPr>
          <w:sz w:val="20"/>
          <w:szCs w:val="20"/>
          <w:lang w:eastAsia="zh-CN"/>
        </w:rPr>
        <w:t xml:space="preserve">same period of the </w:t>
      </w:r>
      <w:r>
        <w:rPr>
          <w:sz w:val="20"/>
          <w:szCs w:val="20"/>
        </w:rPr>
        <w:t xml:space="preserve">prior year. General and administrative expenses for the full year of 2017 included RMB 69.2 million (US$ </w:t>
      </w:r>
      <w:r>
        <w:rPr>
          <w:sz w:val="20"/>
          <w:szCs w:val="20"/>
          <w:lang w:eastAsia="zh-CN"/>
        </w:rPr>
        <w:t>10.6</w:t>
      </w:r>
      <w:r>
        <w:rPr>
          <w:sz w:val="20"/>
          <w:szCs w:val="20"/>
        </w:rPr>
        <w:t xml:space="preserve"> million) in share-based compensation </w:t>
      </w:r>
      <w:r w:rsidR="00A31987">
        <w:rPr>
          <w:rFonts w:hint="eastAsia"/>
          <w:sz w:val="20"/>
          <w:szCs w:val="20"/>
          <w:lang w:eastAsia="zh-CN"/>
        </w:rPr>
        <w:t xml:space="preserve">and </w:t>
      </w:r>
      <w:r>
        <w:rPr>
          <w:sz w:val="20"/>
          <w:szCs w:val="20"/>
        </w:rPr>
        <w:t xml:space="preserve">RMB </w:t>
      </w:r>
      <w:r>
        <w:rPr>
          <w:sz w:val="20"/>
          <w:szCs w:val="20"/>
          <w:lang w:eastAsia="zh-CN"/>
        </w:rPr>
        <w:t>91.1</w:t>
      </w:r>
      <w:r>
        <w:rPr>
          <w:sz w:val="20"/>
          <w:szCs w:val="20"/>
        </w:rPr>
        <w:t xml:space="preserve"> million (US$ </w:t>
      </w:r>
      <w:r>
        <w:rPr>
          <w:sz w:val="20"/>
          <w:szCs w:val="20"/>
          <w:lang w:eastAsia="zh-CN"/>
        </w:rPr>
        <w:t>14.0</w:t>
      </w:r>
      <w:r>
        <w:rPr>
          <w:sz w:val="20"/>
          <w:szCs w:val="20"/>
        </w:rPr>
        <w:t xml:space="preserve"> million) </w:t>
      </w:r>
      <w:r w:rsidR="00A31987">
        <w:rPr>
          <w:rFonts w:hint="eastAsia"/>
          <w:sz w:val="20"/>
          <w:szCs w:val="20"/>
          <w:lang w:eastAsia="zh-CN"/>
        </w:rPr>
        <w:t xml:space="preserve">in </w:t>
      </w:r>
      <w:r>
        <w:rPr>
          <w:sz w:val="20"/>
          <w:szCs w:val="20"/>
        </w:rPr>
        <w:t>IPO</w:t>
      </w:r>
      <w:r w:rsidR="00766108">
        <w:rPr>
          <w:rFonts w:hint="eastAsia"/>
          <w:sz w:val="20"/>
          <w:szCs w:val="20"/>
          <w:lang w:eastAsia="zh-CN"/>
        </w:rPr>
        <w:t>-related expenses</w:t>
      </w:r>
      <w:r>
        <w:rPr>
          <w:sz w:val="20"/>
          <w:szCs w:val="20"/>
        </w:rPr>
        <w:t xml:space="preserve"> </w:t>
      </w:r>
      <w:r w:rsidR="00766108">
        <w:rPr>
          <w:rFonts w:hint="eastAsia"/>
          <w:sz w:val="20"/>
          <w:szCs w:val="20"/>
          <w:lang w:eastAsia="zh-CN"/>
        </w:rPr>
        <w:t xml:space="preserve">and </w:t>
      </w:r>
      <w:r>
        <w:rPr>
          <w:sz w:val="20"/>
          <w:szCs w:val="20"/>
          <w:lang w:eastAsia="zh-CN"/>
        </w:rPr>
        <w:t>one-off</w:t>
      </w:r>
      <w:r>
        <w:rPr>
          <w:sz w:val="20"/>
          <w:szCs w:val="20"/>
        </w:rPr>
        <w:t xml:space="preserve"> expenses. Excluding</w:t>
      </w:r>
      <w:r>
        <w:rPr>
          <w:sz w:val="20"/>
          <w:szCs w:val="20"/>
          <w:lang w:eastAsia="zh-CN"/>
        </w:rPr>
        <w:t xml:space="preserve"> IPO</w:t>
      </w:r>
      <w:r w:rsidR="00766108">
        <w:rPr>
          <w:rFonts w:hint="eastAsia"/>
          <w:sz w:val="20"/>
          <w:szCs w:val="20"/>
          <w:lang w:eastAsia="zh-CN"/>
        </w:rPr>
        <w:t>-related expenses,</w:t>
      </w:r>
      <w:r>
        <w:rPr>
          <w:sz w:val="20"/>
          <w:szCs w:val="20"/>
          <w:lang w:eastAsia="zh-CN"/>
        </w:rPr>
        <w:t xml:space="preserve"> one-off expenses</w:t>
      </w:r>
      <w:r w:rsidR="00766108">
        <w:rPr>
          <w:rFonts w:hint="eastAsia"/>
          <w:sz w:val="20"/>
          <w:szCs w:val="20"/>
          <w:lang w:eastAsia="zh-CN"/>
        </w:rPr>
        <w:t xml:space="preserve"> and </w:t>
      </w:r>
      <w:r w:rsidR="00766108">
        <w:rPr>
          <w:sz w:val="20"/>
          <w:szCs w:val="20"/>
          <w:lang w:eastAsia="zh-CN"/>
        </w:rPr>
        <w:t>share-based compensation</w:t>
      </w:r>
      <w:r>
        <w:rPr>
          <w:sz w:val="20"/>
          <w:szCs w:val="20"/>
        </w:rPr>
        <w:t xml:space="preserve">, </w:t>
      </w:r>
      <w:r w:rsidR="00145349">
        <w:rPr>
          <w:sz w:val="20"/>
          <w:szCs w:val="20"/>
          <w:lang w:eastAsia="zh-CN"/>
        </w:rPr>
        <w:t>non-GAAP</w:t>
      </w:r>
      <w:r>
        <w:rPr>
          <w:sz w:val="20"/>
          <w:szCs w:val="20"/>
          <w:lang w:eastAsia="zh-CN"/>
        </w:rPr>
        <w:t xml:space="preserve"> </w:t>
      </w:r>
      <w:r>
        <w:rPr>
          <w:sz w:val="20"/>
          <w:szCs w:val="20"/>
        </w:rPr>
        <w:t>general and administrative expenses for the full year of 2017 was RMB 1</w:t>
      </w:r>
      <w:r>
        <w:rPr>
          <w:sz w:val="20"/>
          <w:szCs w:val="20"/>
          <w:lang w:eastAsia="zh-CN"/>
        </w:rPr>
        <w:t>79.4</w:t>
      </w:r>
      <w:r>
        <w:rPr>
          <w:sz w:val="20"/>
          <w:szCs w:val="20"/>
        </w:rPr>
        <w:t xml:space="preserve"> million (US$ </w:t>
      </w:r>
      <w:r>
        <w:rPr>
          <w:sz w:val="20"/>
          <w:szCs w:val="20"/>
          <w:lang w:eastAsia="zh-CN"/>
        </w:rPr>
        <w:t>27.6</w:t>
      </w:r>
      <w:r>
        <w:rPr>
          <w:sz w:val="20"/>
          <w:szCs w:val="20"/>
        </w:rPr>
        <w:t xml:space="preserve"> million), or 1</w:t>
      </w:r>
      <w:r>
        <w:rPr>
          <w:sz w:val="20"/>
          <w:szCs w:val="20"/>
          <w:lang w:eastAsia="zh-CN"/>
        </w:rPr>
        <w:t>8.5</w:t>
      </w:r>
      <w:r>
        <w:rPr>
          <w:sz w:val="20"/>
          <w:szCs w:val="20"/>
        </w:rPr>
        <w:t xml:space="preserve">% of total revenue, </w:t>
      </w:r>
      <w:r w:rsidR="00D363CE">
        <w:rPr>
          <w:rFonts w:hint="eastAsia"/>
          <w:sz w:val="20"/>
          <w:szCs w:val="20"/>
          <w:lang w:eastAsia="zh-CN"/>
        </w:rPr>
        <w:t>decreased</w:t>
      </w:r>
      <w:r w:rsidR="00D363CE">
        <w:rPr>
          <w:sz w:val="20"/>
          <w:szCs w:val="20"/>
        </w:rPr>
        <w:t xml:space="preserve"> </w:t>
      </w:r>
      <w:r>
        <w:rPr>
          <w:sz w:val="20"/>
          <w:szCs w:val="20"/>
        </w:rPr>
        <w:t>from 20.8% in the full year of 2016.</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B5188B">
      <w:pPr>
        <w:pStyle w:val="a3"/>
        <w:spacing w:before="0" w:beforeAutospacing="0" w:after="0" w:afterAutospacing="0"/>
        <w:jc w:val="both"/>
        <w:divId w:val="1081558984"/>
        <w:rPr>
          <w:sz w:val="20"/>
          <w:szCs w:val="20"/>
        </w:rPr>
      </w:pPr>
      <w:r>
        <w:rPr>
          <w:sz w:val="20"/>
          <w:szCs w:val="20"/>
        </w:rPr>
        <w:t xml:space="preserve">Operating </w:t>
      </w:r>
      <w:r>
        <w:rPr>
          <w:sz w:val="20"/>
          <w:szCs w:val="20"/>
          <w:lang w:eastAsia="zh-CN"/>
        </w:rPr>
        <w:t>loss</w:t>
      </w:r>
      <w:r>
        <w:rPr>
          <w:sz w:val="20"/>
          <w:szCs w:val="20"/>
        </w:rPr>
        <w:t xml:space="preserve"> for the full year of 2017</w:t>
      </w:r>
      <w:r w:rsidR="00121BEA">
        <w:rPr>
          <w:rFonts w:hint="eastAsia"/>
          <w:sz w:val="20"/>
          <w:szCs w:val="20"/>
          <w:lang w:eastAsia="zh-CN"/>
        </w:rPr>
        <w:t xml:space="preserve"> </w:t>
      </w:r>
      <w:r w:rsidR="001543D3">
        <w:rPr>
          <w:rFonts w:hint="eastAsia"/>
          <w:sz w:val="20"/>
          <w:szCs w:val="20"/>
          <w:lang w:eastAsia="zh-CN"/>
        </w:rPr>
        <w:t>was</w:t>
      </w:r>
      <w:r>
        <w:rPr>
          <w:sz w:val="20"/>
          <w:szCs w:val="20"/>
        </w:rPr>
        <w:t xml:space="preserve"> RMB </w:t>
      </w:r>
      <w:r>
        <w:rPr>
          <w:sz w:val="20"/>
          <w:szCs w:val="20"/>
          <w:lang w:eastAsia="zh-CN"/>
        </w:rPr>
        <w:t>0.6</w:t>
      </w:r>
      <w:r>
        <w:rPr>
          <w:sz w:val="20"/>
          <w:szCs w:val="20"/>
        </w:rPr>
        <w:t xml:space="preserve"> million (US$ </w:t>
      </w:r>
      <w:r>
        <w:rPr>
          <w:sz w:val="20"/>
          <w:szCs w:val="20"/>
          <w:lang w:eastAsia="zh-CN"/>
        </w:rPr>
        <w:t>0.1</w:t>
      </w:r>
      <w:r>
        <w:rPr>
          <w:sz w:val="20"/>
          <w:szCs w:val="20"/>
        </w:rPr>
        <w:t xml:space="preserve"> million)</w:t>
      </w:r>
      <w:r w:rsidR="001543D3">
        <w:rPr>
          <w:rFonts w:hint="eastAsia"/>
          <w:sz w:val="20"/>
          <w:szCs w:val="20"/>
          <w:lang w:eastAsia="zh-CN"/>
        </w:rPr>
        <w:t xml:space="preserve">, compared </w:t>
      </w:r>
      <w:r w:rsidR="00D363CE">
        <w:rPr>
          <w:rFonts w:hint="eastAsia"/>
          <w:sz w:val="20"/>
          <w:szCs w:val="20"/>
          <w:lang w:eastAsia="zh-CN"/>
        </w:rPr>
        <w:t>with</w:t>
      </w:r>
      <w:r w:rsidR="00D363CE">
        <w:rPr>
          <w:sz w:val="20"/>
          <w:szCs w:val="20"/>
          <w:lang w:eastAsia="zh-CN"/>
        </w:rPr>
        <w:t xml:space="preserve"> </w:t>
      </w:r>
      <w:r>
        <w:rPr>
          <w:sz w:val="20"/>
          <w:szCs w:val="20"/>
        </w:rPr>
        <w:t xml:space="preserve">RMB 70.8 million </w:t>
      </w:r>
      <w:r w:rsidR="00121BEA">
        <w:rPr>
          <w:sz w:val="20"/>
          <w:szCs w:val="20"/>
          <w:lang w:eastAsia="zh-CN"/>
        </w:rPr>
        <w:t>operating</w:t>
      </w:r>
      <w:r w:rsidR="00121BEA">
        <w:rPr>
          <w:rFonts w:hint="eastAsia"/>
          <w:sz w:val="20"/>
          <w:szCs w:val="20"/>
          <w:lang w:eastAsia="zh-CN"/>
        </w:rPr>
        <w:t xml:space="preserve"> income </w:t>
      </w:r>
      <w:r>
        <w:rPr>
          <w:sz w:val="20"/>
          <w:szCs w:val="20"/>
        </w:rPr>
        <w:t xml:space="preserve">in the </w:t>
      </w:r>
      <w:r>
        <w:rPr>
          <w:sz w:val="20"/>
          <w:szCs w:val="20"/>
          <w:lang w:eastAsia="zh-CN"/>
        </w:rPr>
        <w:t xml:space="preserve">same period of the </w:t>
      </w:r>
      <w:r>
        <w:rPr>
          <w:sz w:val="20"/>
          <w:szCs w:val="20"/>
        </w:rPr>
        <w:t xml:space="preserve">prior year. Excluding </w:t>
      </w:r>
      <w:r>
        <w:rPr>
          <w:sz w:val="20"/>
          <w:szCs w:val="20"/>
          <w:lang w:eastAsia="zh-CN"/>
        </w:rPr>
        <w:t>IPO</w:t>
      </w:r>
      <w:r w:rsidR="00C0617C">
        <w:rPr>
          <w:rFonts w:hint="eastAsia"/>
          <w:sz w:val="20"/>
          <w:szCs w:val="20"/>
          <w:lang w:eastAsia="zh-CN"/>
        </w:rPr>
        <w:t xml:space="preserve">-related expenses, </w:t>
      </w:r>
      <w:r>
        <w:rPr>
          <w:sz w:val="20"/>
          <w:szCs w:val="20"/>
          <w:lang w:eastAsia="zh-CN"/>
        </w:rPr>
        <w:t>one-off expenses</w:t>
      </w:r>
      <w:r w:rsidR="00C0617C">
        <w:rPr>
          <w:rFonts w:hint="eastAsia"/>
          <w:sz w:val="20"/>
          <w:szCs w:val="20"/>
          <w:lang w:eastAsia="zh-CN"/>
        </w:rPr>
        <w:t xml:space="preserve"> and</w:t>
      </w:r>
      <w:r>
        <w:rPr>
          <w:sz w:val="20"/>
          <w:szCs w:val="20"/>
        </w:rPr>
        <w:t xml:space="preserve"> </w:t>
      </w:r>
      <w:r w:rsidR="00766108">
        <w:rPr>
          <w:rFonts w:hint="eastAsia"/>
          <w:sz w:val="20"/>
          <w:szCs w:val="20"/>
          <w:lang w:eastAsia="zh-CN"/>
        </w:rPr>
        <w:t>share-based compensation</w:t>
      </w:r>
      <w:r w:rsidR="00A31987">
        <w:rPr>
          <w:rFonts w:hint="eastAsia"/>
          <w:sz w:val="20"/>
          <w:szCs w:val="20"/>
          <w:lang w:eastAsia="zh-CN"/>
        </w:rPr>
        <w:t xml:space="preserve">, </w:t>
      </w:r>
      <w:r w:rsidR="00145349">
        <w:rPr>
          <w:sz w:val="20"/>
          <w:szCs w:val="20"/>
        </w:rPr>
        <w:t>non-GAAP</w:t>
      </w:r>
      <w:r>
        <w:rPr>
          <w:sz w:val="20"/>
          <w:szCs w:val="20"/>
        </w:rPr>
        <w:t xml:space="preserve"> operating income for the full year of 2017 was RMB 1</w:t>
      </w:r>
      <w:r>
        <w:rPr>
          <w:sz w:val="20"/>
          <w:szCs w:val="20"/>
          <w:lang w:eastAsia="zh-CN"/>
        </w:rPr>
        <w:t>85.8</w:t>
      </w:r>
      <w:r>
        <w:rPr>
          <w:sz w:val="20"/>
          <w:szCs w:val="20"/>
        </w:rPr>
        <w:t xml:space="preserve"> million (US$ </w:t>
      </w:r>
      <w:r>
        <w:rPr>
          <w:sz w:val="20"/>
          <w:szCs w:val="20"/>
          <w:lang w:eastAsia="zh-CN"/>
        </w:rPr>
        <w:t>28.6</w:t>
      </w:r>
      <w:r>
        <w:rPr>
          <w:sz w:val="20"/>
          <w:szCs w:val="20"/>
        </w:rPr>
        <w:t xml:space="preserve"> million)</w:t>
      </w:r>
      <w:r>
        <w:rPr>
          <w:sz w:val="20"/>
          <w:szCs w:val="20"/>
          <w:lang w:eastAsia="zh-CN"/>
        </w:rPr>
        <w:t>,</w:t>
      </w:r>
      <w:r>
        <w:rPr>
          <w:sz w:val="20"/>
          <w:szCs w:val="20"/>
        </w:rPr>
        <w:t xml:space="preserve"> </w:t>
      </w:r>
      <w:r w:rsidR="00D363CE">
        <w:rPr>
          <w:rFonts w:hint="eastAsia"/>
          <w:sz w:val="20"/>
          <w:szCs w:val="20"/>
          <w:lang w:eastAsia="zh-CN"/>
        </w:rPr>
        <w:t>increased</w:t>
      </w:r>
      <w:r w:rsidR="00D363CE">
        <w:rPr>
          <w:sz w:val="20"/>
          <w:szCs w:val="20"/>
        </w:rPr>
        <w:t xml:space="preserve"> </w:t>
      </w:r>
      <w:r>
        <w:rPr>
          <w:sz w:val="20"/>
          <w:szCs w:val="20"/>
        </w:rPr>
        <w:t>1</w:t>
      </w:r>
      <w:r>
        <w:rPr>
          <w:sz w:val="20"/>
          <w:szCs w:val="20"/>
          <w:lang w:eastAsia="zh-CN"/>
        </w:rPr>
        <w:t>62.3</w:t>
      </w:r>
      <w:r>
        <w:rPr>
          <w:sz w:val="20"/>
          <w:szCs w:val="20"/>
        </w:rPr>
        <w:t>% from the full year of 2016.</w:t>
      </w:r>
    </w:p>
    <w:p w:rsidR="00FB2F06" w:rsidRPr="00BC481B" w:rsidRDefault="00FB2F06" w:rsidP="00866CA8">
      <w:pPr>
        <w:pStyle w:val="a3"/>
        <w:spacing w:before="0" w:beforeAutospacing="0" w:after="0" w:afterAutospacing="0"/>
        <w:jc w:val="both"/>
        <w:divId w:val="1081558984"/>
        <w:rPr>
          <w:sz w:val="20"/>
          <w:szCs w:val="20"/>
          <w:lang w:eastAsia="zh-CN"/>
        </w:rPr>
      </w:pPr>
    </w:p>
    <w:p w:rsidR="004C39DA" w:rsidRPr="00BC481B" w:rsidRDefault="00592C21" w:rsidP="004C39DA">
      <w:pPr>
        <w:divId w:val="1081558984"/>
        <w:rPr>
          <w:b/>
          <w:bCs/>
          <w:sz w:val="20"/>
          <w:szCs w:val="20"/>
        </w:rPr>
      </w:pPr>
      <w:r>
        <w:rPr>
          <w:b/>
          <w:bCs/>
          <w:sz w:val="20"/>
          <w:szCs w:val="20"/>
        </w:rPr>
        <w:t>Interest Expense</w:t>
      </w:r>
    </w:p>
    <w:p w:rsidR="004C39DA" w:rsidRPr="00BC481B" w:rsidRDefault="004C39DA" w:rsidP="004C39DA">
      <w:pPr>
        <w:divId w:val="1081558984"/>
        <w:rPr>
          <w:color w:val="000000" w:themeColor="text1"/>
        </w:rPr>
      </w:pPr>
    </w:p>
    <w:p w:rsidR="004C39DA" w:rsidRPr="00BC481B" w:rsidRDefault="00592C21" w:rsidP="004C39DA">
      <w:pPr>
        <w:divId w:val="1081558984"/>
        <w:rPr>
          <w:sz w:val="20"/>
          <w:szCs w:val="20"/>
        </w:rPr>
      </w:pPr>
      <w:r>
        <w:rPr>
          <w:sz w:val="20"/>
          <w:szCs w:val="20"/>
        </w:rPr>
        <w:lastRenderedPageBreak/>
        <w:t xml:space="preserve">Interest expense for the </w:t>
      </w:r>
      <w:r>
        <w:rPr>
          <w:sz w:val="20"/>
          <w:szCs w:val="20"/>
          <w:lang w:eastAsia="zh-CN"/>
        </w:rPr>
        <w:t xml:space="preserve">full year of </w:t>
      </w:r>
      <w:r>
        <w:rPr>
          <w:sz w:val="20"/>
          <w:szCs w:val="20"/>
        </w:rPr>
        <w:t xml:space="preserve">2017 was RMB </w:t>
      </w:r>
      <w:r>
        <w:rPr>
          <w:sz w:val="20"/>
          <w:szCs w:val="20"/>
          <w:lang w:eastAsia="zh-CN"/>
        </w:rPr>
        <w:t>26.6</w:t>
      </w:r>
      <w:r>
        <w:rPr>
          <w:sz w:val="20"/>
          <w:szCs w:val="20"/>
        </w:rPr>
        <w:t xml:space="preserve"> million (US$ </w:t>
      </w:r>
      <w:r>
        <w:rPr>
          <w:sz w:val="20"/>
          <w:szCs w:val="20"/>
          <w:lang w:eastAsia="zh-CN"/>
        </w:rPr>
        <w:t>4.1</w:t>
      </w:r>
      <w:r>
        <w:rPr>
          <w:sz w:val="20"/>
          <w:szCs w:val="20"/>
        </w:rPr>
        <w:t xml:space="preserve"> million), as compared </w:t>
      </w:r>
      <w:r w:rsidR="0041570D">
        <w:rPr>
          <w:rFonts w:hint="eastAsia"/>
          <w:sz w:val="20"/>
          <w:szCs w:val="20"/>
          <w:lang w:eastAsia="zh-CN"/>
        </w:rPr>
        <w:t>with</w:t>
      </w:r>
      <w:r w:rsidR="0041570D">
        <w:rPr>
          <w:sz w:val="20"/>
          <w:szCs w:val="20"/>
        </w:rPr>
        <w:t xml:space="preserve"> </w:t>
      </w:r>
      <w:r>
        <w:rPr>
          <w:sz w:val="20"/>
          <w:szCs w:val="20"/>
        </w:rPr>
        <w:t xml:space="preserve">RMB </w:t>
      </w:r>
      <w:r>
        <w:rPr>
          <w:sz w:val="20"/>
          <w:szCs w:val="20"/>
          <w:lang w:eastAsia="zh-CN"/>
        </w:rPr>
        <w:t>6</w:t>
      </w:r>
      <w:r>
        <w:rPr>
          <w:sz w:val="20"/>
          <w:szCs w:val="20"/>
        </w:rPr>
        <w:t>.</w:t>
      </w:r>
      <w:r>
        <w:rPr>
          <w:sz w:val="20"/>
          <w:szCs w:val="20"/>
          <w:lang w:eastAsia="zh-CN"/>
        </w:rPr>
        <w:t>1</w:t>
      </w:r>
      <w:r>
        <w:rPr>
          <w:sz w:val="20"/>
          <w:szCs w:val="20"/>
        </w:rPr>
        <w:t xml:space="preserve"> million in the same period of the prior year. The Company drew down a US$55 million long</w:t>
      </w:r>
      <w:r w:rsidR="00121BEA">
        <w:rPr>
          <w:rFonts w:hint="eastAsia"/>
          <w:sz w:val="20"/>
          <w:szCs w:val="20"/>
          <w:lang w:eastAsia="zh-CN"/>
        </w:rPr>
        <w:t>-</w:t>
      </w:r>
      <w:r>
        <w:rPr>
          <w:sz w:val="20"/>
          <w:szCs w:val="20"/>
        </w:rPr>
        <w:t xml:space="preserve">term loan facility from CTBC Bank Co. Ltd. on September 12, 2016 and this loan facility was further expanded to US$110.0 million in September 2017. The increase in interest expense is mainly caused by the longer interest period and to a less extent by the higher loan principal. The </w:t>
      </w:r>
      <w:r w:rsidR="00547270">
        <w:rPr>
          <w:rFonts w:hint="eastAsia"/>
          <w:sz w:val="20"/>
          <w:szCs w:val="20"/>
          <w:lang w:eastAsia="zh-CN"/>
        </w:rPr>
        <w:t>C</w:t>
      </w:r>
      <w:r>
        <w:rPr>
          <w:sz w:val="20"/>
          <w:szCs w:val="20"/>
        </w:rPr>
        <w:t xml:space="preserve">ompany plans to repay the loan by installments </w:t>
      </w:r>
      <w:r w:rsidR="00016191">
        <w:rPr>
          <w:rFonts w:hint="eastAsia"/>
          <w:sz w:val="20"/>
          <w:szCs w:val="20"/>
          <w:lang w:eastAsia="zh-CN"/>
        </w:rPr>
        <w:t>over</w:t>
      </w:r>
      <w:r w:rsidR="00016191">
        <w:rPr>
          <w:sz w:val="20"/>
          <w:szCs w:val="20"/>
        </w:rPr>
        <w:t xml:space="preserve"> </w:t>
      </w:r>
      <w:r>
        <w:rPr>
          <w:sz w:val="20"/>
          <w:szCs w:val="20"/>
        </w:rPr>
        <w:t>the next 5 years.</w:t>
      </w:r>
    </w:p>
    <w:p w:rsidR="004C39DA" w:rsidRPr="00BC481B" w:rsidRDefault="004C39DA" w:rsidP="004C39DA">
      <w:pPr>
        <w:divId w:val="1081558984"/>
        <w:rPr>
          <w:color w:val="000000" w:themeColor="text1"/>
        </w:rPr>
      </w:pPr>
    </w:p>
    <w:p w:rsidR="004C39DA" w:rsidRPr="00BC481B" w:rsidRDefault="00592C21" w:rsidP="004C39DA">
      <w:pPr>
        <w:divId w:val="1081558984"/>
        <w:rPr>
          <w:b/>
          <w:bCs/>
          <w:sz w:val="20"/>
          <w:szCs w:val="20"/>
        </w:rPr>
      </w:pPr>
      <w:r>
        <w:rPr>
          <w:b/>
          <w:bCs/>
          <w:sz w:val="20"/>
          <w:szCs w:val="20"/>
        </w:rPr>
        <w:t>Income</w:t>
      </w:r>
      <w:r w:rsidR="004A17CB">
        <w:rPr>
          <w:rFonts w:hint="eastAsia"/>
          <w:b/>
          <w:bCs/>
          <w:sz w:val="20"/>
          <w:szCs w:val="20"/>
          <w:lang w:eastAsia="zh-CN"/>
        </w:rPr>
        <w:t xml:space="preserve"> / </w:t>
      </w:r>
      <w:r w:rsidR="004A17CB">
        <w:rPr>
          <w:b/>
          <w:bCs/>
          <w:sz w:val="20"/>
          <w:szCs w:val="20"/>
          <w:lang w:eastAsia="zh-CN"/>
        </w:rPr>
        <w:t>(Loss)</w:t>
      </w:r>
      <w:r>
        <w:rPr>
          <w:b/>
          <w:bCs/>
          <w:sz w:val="20"/>
          <w:szCs w:val="20"/>
        </w:rPr>
        <w:t xml:space="preserve"> before Income Tax Expense</w:t>
      </w:r>
    </w:p>
    <w:p w:rsidR="004C39DA" w:rsidRPr="00BC481B" w:rsidRDefault="004C39DA" w:rsidP="004C39DA">
      <w:pPr>
        <w:divId w:val="1081558984"/>
        <w:rPr>
          <w:b/>
          <w:caps/>
          <w:color w:val="000000" w:themeColor="text1"/>
        </w:rPr>
      </w:pPr>
    </w:p>
    <w:p w:rsidR="004C39DA" w:rsidRPr="00BC481B" w:rsidRDefault="00592C21" w:rsidP="004C39DA">
      <w:pPr>
        <w:divId w:val="1081558984"/>
        <w:rPr>
          <w:sz w:val="20"/>
          <w:szCs w:val="20"/>
          <w:lang w:eastAsia="zh-CN"/>
        </w:rPr>
      </w:pPr>
      <w:r>
        <w:rPr>
          <w:sz w:val="20"/>
          <w:szCs w:val="20"/>
          <w:lang w:eastAsia="zh-CN"/>
        </w:rPr>
        <w:t>Loss</w:t>
      </w:r>
      <w:r>
        <w:rPr>
          <w:sz w:val="20"/>
          <w:szCs w:val="20"/>
        </w:rPr>
        <w:t xml:space="preserve"> before income tax expense for the </w:t>
      </w:r>
      <w:r>
        <w:rPr>
          <w:sz w:val="20"/>
          <w:szCs w:val="20"/>
          <w:lang w:eastAsia="zh-CN"/>
        </w:rPr>
        <w:t>full year</w:t>
      </w:r>
      <w:r>
        <w:rPr>
          <w:sz w:val="20"/>
          <w:szCs w:val="20"/>
        </w:rPr>
        <w:t xml:space="preserve"> of 2017 was</w:t>
      </w:r>
      <w:r w:rsidR="005F7AE4">
        <w:rPr>
          <w:rFonts w:hint="eastAsia"/>
          <w:sz w:val="20"/>
          <w:szCs w:val="20"/>
          <w:lang w:eastAsia="zh-CN"/>
        </w:rPr>
        <w:t xml:space="preserve"> </w:t>
      </w:r>
      <w:r>
        <w:rPr>
          <w:sz w:val="20"/>
          <w:szCs w:val="20"/>
        </w:rPr>
        <w:t xml:space="preserve">RMB </w:t>
      </w:r>
      <w:r>
        <w:rPr>
          <w:sz w:val="20"/>
          <w:szCs w:val="20"/>
          <w:lang w:eastAsia="zh-CN"/>
        </w:rPr>
        <w:t>0.7</w:t>
      </w:r>
      <w:r>
        <w:rPr>
          <w:sz w:val="20"/>
          <w:szCs w:val="20"/>
        </w:rPr>
        <w:t xml:space="preserve"> million (US$ </w:t>
      </w:r>
      <w:r>
        <w:rPr>
          <w:sz w:val="20"/>
          <w:szCs w:val="20"/>
          <w:lang w:eastAsia="zh-CN"/>
        </w:rPr>
        <w:t>0.1</w:t>
      </w:r>
      <w:r>
        <w:rPr>
          <w:sz w:val="20"/>
          <w:szCs w:val="20"/>
        </w:rPr>
        <w:t xml:space="preserve"> million) as compared </w:t>
      </w:r>
      <w:r w:rsidR="0041570D">
        <w:rPr>
          <w:rFonts w:hint="eastAsia"/>
          <w:sz w:val="20"/>
          <w:szCs w:val="20"/>
          <w:lang w:eastAsia="zh-CN"/>
        </w:rPr>
        <w:t>with</w:t>
      </w:r>
      <w:r w:rsidR="0041570D">
        <w:rPr>
          <w:sz w:val="20"/>
          <w:szCs w:val="20"/>
        </w:rPr>
        <w:t xml:space="preserve"> </w:t>
      </w:r>
      <w:r w:rsidR="000E7C00">
        <w:rPr>
          <w:rFonts w:hint="eastAsia"/>
          <w:sz w:val="20"/>
          <w:szCs w:val="20"/>
          <w:lang w:eastAsia="zh-CN"/>
        </w:rPr>
        <w:t xml:space="preserve">an income </w:t>
      </w:r>
      <w:r w:rsidR="0086718B">
        <w:rPr>
          <w:sz w:val="20"/>
          <w:szCs w:val="20"/>
          <w:lang w:eastAsia="zh-CN"/>
        </w:rPr>
        <w:t>before income tax expense</w:t>
      </w:r>
      <w:r w:rsidR="0086718B">
        <w:rPr>
          <w:rFonts w:hint="eastAsia"/>
          <w:sz w:val="20"/>
          <w:szCs w:val="20"/>
          <w:lang w:eastAsia="zh-CN"/>
        </w:rPr>
        <w:t xml:space="preserve"> </w:t>
      </w:r>
      <w:r w:rsidR="000E7C00">
        <w:rPr>
          <w:rFonts w:hint="eastAsia"/>
          <w:sz w:val="20"/>
          <w:szCs w:val="20"/>
          <w:lang w:eastAsia="zh-CN"/>
        </w:rPr>
        <w:t xml:space="preserve">of </w:t>
      </w:r>
      <w:r>
        <w:rPr>
          <w:sz w:val="20"/>
          <w:szCs w:val="20"/>
        </w:rPr>
        <w:t xml:space="preserve">RMB </w:t>
      </w:r>
      <w:r>
        <w:rPr>
          <w:sz w:val="20"/>
          <w:szCs w:val="20"/>
          <w:lang w:eastAsia="zh-CN"/>
        </w:rPr>
        <w:t>83</w:t>
      </w:r>
      <w:r>
        <w:rPr>
          <w:sz w:val="20"/>
          <w:szCs w:val="20"/>
        </w:rPr>
        <w:t>.0 million in the prior year.</w:t>
      </w:r>
    </w:p>
    <w:p w:rsidR="004C39DA" w:rsidRPr="00BC481B" w:rsidRDefault="004C39DA" w:rsidP="004C39DA">
      <w:pPr>
        <w:divId w:val="1081558984"/>
        <w:rPr>
          <w:color w:val="000000" w:themeColor="text1"/>
        </w:rPr>
      </w:pPr>
    </w:p>
    <w:p w:rsidR="004C39DA" w:rsidRPr="00BC481B" w:rsidRDefault="00592C21" w:rsidP="004C39DA">
      <w:pPr>
        <w:divId w:val="1081558984"/>
        <w:rPr>
          <w:b/>
          <w:bCs/>
          <w:sz w:val="20"/>
          <w:szCs w:val="20"/>
        </w:rPr>
      </w:pPr>
      <w:r>
        <w:rPr>
          <w:b/>
          <w:bCs/>
          <w:sz w:val="20"/>
          <w:szCs w:val="20"/>
        </w:rPr>
        <w:t>Income Tax Expense</w:t>
      </w:r>
    </w:p>
    <w:p w:rsidR="004C39DA" w:rsidRPr="00BC481B" w:rsidRDefault="004C39DA" w:rsidP="004C39DA">
      <w:pPr>
        <w:divId w:val="1081558984"/>
        <w:rPr>
          <w:color w:val="000000" w:themeColor="text1"/>
        </w:rPr>
      </w:pPr>
    </w:p>
    <w:p w:rsidR="004C39DA" w:rsidRPr="00BC481B" w:rsidRDefault="00592C21" w:rsidP="004C39DA">
      <w:pPr>
        <w:divId w:val="1081558984"/>
        <w:rPr>
          <w:sz w:val="20"/>
          <w:szCs w:val="20"/>
        </w:rPr>
      </w:pPr>
      <w:r>
        <w:rPr>
          <w:sz w:val="20"/>
          <w:szCs w:val="20"/>
        </w:rPr>
        <w:t xml:space="preserve">Income tax expense for the </w:t>
      </w:r>
      <w:r>
        <w:rPr>
          <w:sz w:val="20"/>
          <w:szCs w:val="20"/>
          <w:lang w:eastAsia="zh-CN"/>
        </w:rPr>
        <w:t>full year</w:t>
      </w:r>
      <w:r>
        <w:rPr>
          <w:sz w:val="20"/>
          <w:szCs w:val="20"/>
        </w:rPr>
        <w:t xml:space="preserve"> of 2017 was RMB </w:t>
      </w:r>
      <w:r>
        <w:rPr>
          <w:sz w:val="20"/>
          <w:szCs w:val="20"/>
          <w:lang w:eastAsia="zh-CN"/>
        </w:rPr>
        <w:t>52.9</w:t>
      </w:r>
      <w:r>
        <w:rPr>
          <w:sz w:val="20"/>
          <w:szCs w:val="20"/>
        </w:rPr>
        <w:t xml:space="preserve"> million (US$ </w:t>
      </w:r>
      <w:r>
        <w:rPr>
          <w:sz w:val="20"/>
          <w:szCs w:val="20"/>
          <w:lang w:eastAsia="zh-CN"/>
        </w:rPr>
        <w:t>8.1</w:t>
      </w:r>
      <w:r>
        <w:rPr>
          <w:sz w:val="20"/>
          <w:szCs w:val="20"/>
        </w:rPr>
        <w:t xml:space="preserve"> million), as compared </w:t>
      </w:r>
      <w:r w:rsidR="0041570D">
        <w:rPr>
          <w:rFonts w:hint="eastAsia"/>
          <w:sz w:val="20"/>
          <w:szCs w:val="20"/>
          <w:lang w:eastAsia="zh-CN"/>
        </w:rPr>
        <w:t>with</w:t>
      </w:r>
      <w:r w:rsidR="0041570D">
        <w:rPr>
          <w:sz w:val="20"/>
          <w:szCs w:val="20"/>
        </w:rPr>
        <w:t xml:space="preserve"> </w:t>
      </w:r>
      <w:r>
        <w:rPr>
          <w:sz w:val="20"/>
          <w:szCs w:val="20"/>
        </w:rPr>
        <w:t xml:space="preserve">RMB </w:t>
      </w:r>
      <w:r>
        <w:rPr>
          <w:sz w:val="20"/>
          <w:szCs w:val="20"/>
          <w:lang w:eastAsia="zh-CN"/>
        </w:rPr>
        <w:t>32.2</w:t>
      </w:r>
      <w:r>
        <w:rPr>
          <w:sz w:val="20"/>
          <w:szCs w:val="20"/>
        </w:rPr>
        <w:t xml:space="preserve"> million in the prior year.</w:t>
      </w:r>
    </w:p>
    <w:p w:rsidR="004C39DA" w:rsidRPr="00BC481B" w:rsidRDefault="004C39DA" w:rsidP="00866CA8">
      <w:pPr>
        <w:pStyle w:val="a3"/>
        <w:spacing w:before="0" w:beforeAutospacing="0" w:after="0" w:afterAutospacing="0"/>
        <w:jc w:val="both"/>
        <w:divId w:val="1081558984"/>
        <w:rPr>
          <w:sz w:val="20"/>
          <w:szCs w:val="20"/>
          <w:lang w:eastAsia="zh-CN"/>
        </w:rPr>
      </w:pPr>
    </w:p>
    <w:p w:rsidR="00FB2F06" w:rsidRPr="00BC481B" w:rsidRDefault="00592C21" w:rsidP="00866CA8">
      <w:pPr>
        <w:pStyle w:val="a3"/>
        <w:spacing w:before="0" w:beforeAutospacing="0" w:after="0" w:afterAutospacing="0"/>
        <w:jc w:val="both"/>
        <w:divId w:val="1081558984"/>
        <w:rPr>
          <w:sz w:val="20"/>
          <w:szCs w:val="20"/>
          <w:lang w:eastAsia="zh-CN"/>
        </w:rPr>
      </w:pPr>
      <w:r>
        <w:rPr>
          <w:b/>
          <w:bCs/>
          <w:sz w:val="20"/>
          <w:szCs w:val="20"/>
        </w:rPr>
        <w:t>Net Income</w:t>
      </w:r>
      <w:r w:rsidR="004A17CB">
        <w:rPr>
          <w:rFonts w:hint="eastAsia"/>
          <w:b/>
          <w:bCs/>
          <w:sz w:val="20"/>
          <w:szCs w:val="20"/>
          <w:lang w:eastAsia="zh-CN"/>
        </w:rPr>
        <w:t xml:space="preserve"> / </w:t>
      </w:r>
      <w:r w:rsidR="004A17CB">
        <w:rPr>
          <w:b/>
          <w:bCs/>
          <w:sz w:val="20"/>
          <w:szCs w:val="20"/>
          <w:lang w:eastAsia="zh-CN"/>
        </w:rPr>
        <w:t>(L</w:t>
      </w:r>
      <w:r w:rsidR="004A17CB">
        <w:rPr>
          <w:b/>
          <w:bCs/>
          <w:sz w:val="20"/>
          <w:szCs w:val="20"/>
        </w:rPr>
        <w:t>oss</w:t>
      </w:r>
      <w:r w:rsidR="004A17CB">
        <w:rPr>
          <w:b/>
          <w:bCs/>
          <w:sz w:val="20"/>
          <w:szCs w:val="20"/>
          <w:lang w:eastAsia="zh-CN"/>
        </w:rPr>
        <w: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Net loss for the full year of 2017 </w:t>
      </w:r>
      <w:r>
        <w:rPr>
          <w:sz w:val="20"/>
          <w:szCs w:val="20"/>
          <w:lang w:eastAsia="zh-CN"/>
        </w:rPr>
        <w:t>was 53.6</w:t>
      </w:r>
      <w:r>
        <w:rPr>
          <w:sz w:val="20"/>
          <w:szCs w:val="20"/>
        </w:rPr>
        <w:t xml:space="preserve"> million (US$ </w:t>
      </w:r>
      <w:r>
        <w:rPr>
          <w:sz w:val="20"/>
          <w:szCs w:val="20"/>
          <w:lang w:eastAsia="zh-CN"/>
        </w:rPr>
        <w:t>8.2</w:t>
      </w:r>
      <w:r>
        <w:rPr>
          <w:sz w:val="20"/>
          <w:szCs w:val="20"/>
        </w:rPr>
        <w:t xml:space="preserve"> million)</w:t>
      </w:r>
      <w:r>
        <w:rPr>
          <w:sz w:val="20"/>
          <w:szCs w:val="20"/>
          <w:lang w:eastAsia="zh-CN"/>
        </w:rPr>
        <w:t>,</w:t>
      </w:r>
      <w:r w:rsidR="005F7AE4">
        <w:rPr>
          <w:rFonts w:hint="eastAsia"/>
          <w:sz w:val="20"/>
          <w:szCs w:val="20"/>
          <w:lang w:eastAsia="zh-CN"/>
        </w:rPr>
        <w:t xml:space="preserve"> </w:t>
      </w:r>
      <w:r>
        <w:rPr>
          <w:sz w:val="20"/>
          <w:szCs w:val="20"/>
          <w:lang w:eastAsia="zh-CN"/>
        </w:rPr>
        <w:t xml:space="preserve">compared </w:t>
      </w:r>
      <w:r w:rsidR="0041570D">
        <w:rPr>
          <w:rFonts w:hint="eastAsia"/>
          <w:sz w:val="20"/>
          <w:szCs w:val="20"/>
          <w:lang w:eastAsia="zh-CN"/>
        </w:rPr>
        <w:t>with</w:t>
      </w:r>
      <w:r w:rsidR="0041570D">
        <w:rPr>
          <w:sz w:val="20"/>
          <w:szCs w:val="20"/>
          <w:lang w:eastAsia="zh-CN"/>
        </w:rPr>
        <w:t xml:space="preserve"> </w:t>
      </w:r>
      <w:r>
        <w:rPr>
          <w:sz w:val="20"/>
          <w:szCs w:val="20"/>
        </w:rPr>
        <w:t>a net income of RMB 50.8 million in the full year of 2016</w:t>
      </w:r>
      <w:r>
        <w:rPr>
          <w:sz w:val="20"/>
          <w:szCs w:val="20"/>
          <w:lang w:eastAsia="zh-CN"/>
        </w:rPr>
        <w:t xml:space="preserve">. The decreased of </w:t>
      </w:r>
      <w:r>
        <w:rPr>
          <w:sz w:val="20"/>
          <w:szCs w:val="20"/>
        </w:rPr>
        <w:t xml:space="preserve">RMB </w:t>
      </w:r>
      <w:r>
        <w:rPr>
          <w:sz w:val="20"/>
          <w:szCs w:val="20"/>
          <w:lang w:eastAsia="zh-CN"/>
        </w:rPr>
        <w:t xml:space="preserve">104.4 million </w:t>
      </w:r>
      <w:r w:rsidR="00C1671E" w:rsidRPr="00C1671E">
        <w:rPr>
          <w:sz w:val="20"/>
          <w:szCs w:val="20"/>
          <w:lang w:eastAsia="zh-CN"/>
        </w:rPr>
        <w:t xml:space="preserve">was </w:t>
      </w:r>
      <w:r w:rsidR="00C1671E" w:rsidRPr="00C1671E">
        <w:rPr>
          <w:sz w:val="20"/>
          <w:szCs w:val="20"/>
        </w:rPr>
        <w:t xml:space="preserve">primarily due to </w:t>
      </w:r>
      <w:r w:rsidR="00C1671E" w:rsidRPr="00C1671E">
        <w:rPr>
          <w:sz w:val="20"/>
          <w:szCs w:val="20"/>
          <w:lang w:eastAsia="zh-CN"/>
        </w:rPr>
        <w:t xml:space="preserve">the </w:t>
      </w:r>
      <w:r w:rsidR="00C1671E" w:rsidRPr="00C1671E">
        <w:rPr>
          <w:sz w:val="20"/>
          <w:szCs w:val="20"/>
        </w:rPr>
        <w:t>incurrence of the Company’s IPO</w:t>
      </w:r>
      <w:r w:rsidR="00145349">
        <w:rPr>
          <w:rFonts w:hint="eastAsia"/>
          <w:sz w:val="20"/>
          <w:szCs w:val="20"/>
          <w:lang w:eastAsia="zh-CN"/>
        </w:rPr>
        <w:t>-related expenses</w:t>
      </w:r>
      <w:r w:rsidR="00C1671E" w:rsidRPr="00C1671E">
        <w:rPr>
          <w:sz w:val="20"/>
          <w:szCs w:val="20"/>
        </w:rPr>
        <w:t>, one-off</w:t>
      </w:r>
      <w:r w:rsidR="00C1671E" w:rsidRPr="00C1671E">
        <w:rPr>
          <w:sz w:val="20"/>
          <w:szCs w:val="20"/>
          <w:lang w:eastAsia="zh-CN"/>
        </w:rPr>
        <w:t xml:space="preserve"> expenses</w:t>
      </w:r>
      <w:r w:rsidR="00C1671E" w:rsidRPr="00C1671E">
        <w:rPr>
          <w:sz w:val="20"/>
          <w:szCs w:val="20"/>
        </w:rPr>
        <w:t>, and share-based compensation.</w:t>
      </w:r>
    </w:p>
    <w:p w:rsidR="00FB2F06" w:rsidRPr="00BC481B" w:rsidRDefault="00FB2F06" w:rsidP="00866CA8">
      <w:pPr>
        <w:pStyle w:val="a3"/>
        <w:spacing w:before="0" w:beforeAutospacing="0" w:after="0" w:afterAutospacing="0"/>
        <w:jc w:val="both"/>
        <w:divId w:val="1081558984"/>
        <w:rPr>
          <w:sz w:val="20"/>
          <w:szCs w:val="20"/>
        </w:rPr>
      </w:pPr>
    </w:p>
    <w:p w:rsidR="007568C9" w:rsidRPr="00BC481B" w:rsidRDefault="00145349" w:rsidP="00866CA8">
      <w:pPr>
        <w:pStyle w:val="a3"/>
        <w:spacing w:before="0" w:beforeAutospacing="0" w:after="0" w:afterAutospacing="0"/>
        <w:jc w:val="both"/>
        <w:divId w:val="1081558984"/>
        <w:rPr>
          <w:sz w:val="20"/>
          <w:szCs w:val="20"/>
          <w:lang w:eastAsia="zh-CN"/>
        </w:rPr>
      </w:pPr>
      <w:r>
        <w:rPr>
          <w:sz w:val="20"/>
          <w:szCs w:val="20"/>
        </w:rPr>
        <w:t>Non-GAAP</w:t>
      </w:r>
      <w:r w:rsidR="00592C21">
        <w:rPr>
          <w:sz w:val="20"/>
          <w:szCs w:val="20"/>
        </w:rPr>
        <w:t xml:space="preserve"> net income for the full year of 2017</w:t>
      </w:r>
      <w:r w:rsidR="00592C21">
        <w:rPr>
          <w:sz w:val="20"/>
          <w:szCs w:val="20"/>
          <w:lang w:eastAsia="zh-CN"/>
        </w:rPr>
        <w:t xml:space="preserve"> increased by </w:t>
      </w:r>
      <w:r w:rsidR="007B1EAD">
        <w:rPr>
          <w:rFonts w:hint="eastAsia"/>
          <w:sz w:val="20"/>
          <w:szCs w:val="20"/>
          <w:lang w:eastAsia="zh-CN"/>
        </w:rPr>
        <w:t>140.6</w:t>
      </w:r>
      <w:r w:rsidR="00592C21">
        <w:rPr>
          <w:sz w:val="20"/>
          <w:szCs w:val="20"/>
          <w:lang w:eastAsia="zh-CN"/>
        </w:rPr>
        <w:t xml:space="preserve">% </w:t>
      </w:r>
      <w:r w:rsidR="0047065D">
        <w:rPr>
          <w:sz w:val="20"/>
          <w:szCs w:val="20"/>
          <w:lang w:eastAsia="zh-CN"/>
        </w:rPr>
        <w:t>year-over-year</w:t>
      </w:r>
      <w:r w:rsidR="00592C21">
        <w:rPr>
          <w:sz w:val="20"/>
          <w:szCs w:val="20"/>
          <w:lang w:eastAsia="zh-CN"/>
        </w:rPr>
        <w:t xml:space="preserve"> to RMB 122.</w:t>
      </w:r>
      <w:r w:rsidR="007B1EAD">
        <w:rPr>
          <w:rFonts w:hint="eastAsia"/>
          <w:sz w:val="20"/>
          <w:szCs w:val="20"/>
          <w:lang w:eastAsia="zh-CN"/>
        </w:rPr>
        <w:t>3</w:t>
      </w:r>
      <w:r w:rsidR="00592C21">
        <w:rPr>
          <w:sz w:val="20"/>
          <w:szCs w:val="20"/>
        </w:rPr>
        <w:t xml:space="preserve"> million (US$ </w:t>
      </w:r>
      <w:r w:rsidR="00592C21">
        <w:rPr>
          <w:sz w:val="20"/>
          <w:szCs w:val="20"/>
          <w:lang w:eastAsia="zh-CN"/>
        </w:rPr>
        <w:t>18.</w:t>
      </w:r>
      <w:r w:rsidR="007B1EAD">
        <w:rPr>
          <w:rFonts w:hint="eastAsia"/>
          <w:sz w:val="20"/>
          <w:szCs w:val="20"/>
          <w:lang w:eastAsia="zh-CN"/>
        </w:rPr>
        <w:t>8</w:t>
      </w:r>
      <w:r w:rsidR="00592C21">
        <w:rPr>
          <w:sz w:val="20"/>
          <w:szCs w:val="20"/>
        </w:rPr>
        <w:t xml:space="preserve"> million)</w:t>
      </w:r>
      <w:r w:rsidR="00592C21">
        <w:rPr>
          <w:sz w:val="20"/>
          <w:szCs w:val="20"/>
          <w:lang w:eastAsia="zh-CN"/>
        </w:rPr>
        <w:t xml:space="preserve"> from </w:t>
      </w:r>
      <w:r w:rsidR="00592C21">
        <w:rPr>
          <w:sz w:val="20"/>
          <w:szCs w:val="20"/>
        </w:rPr>
        <w:t>RMB 50.8 million in the full year of 2016.</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EBITDA for the full year of 2017 </w:t>
      </w:r>
      <w:r>
        <w:rPr>
          <w:sz w:val="20"/>
          <w:szCs w:val="20"/>
          <w:lang w:eastAsia="zh-CN"/>
        </w:rPr>
        <w:t>decreased RMB 86.</w:t>
      </w:r>
      <w:r w:rsidR="00C80003">
        <w:rPr>
          <w:rFonts w:hint="eastAsia"/>
          <w:sz w:val="20"/>
          <w:szCs w:val="20"/>
          <w:lang w:eastAsia="zh-CN"/>
        </w:rPr>
        <w:t>2</w:t>
      </w:r>
      <w:r>
        <w:rPr>
          <w:sz w:val="20"/>
          <w:szCs w:val="20"/>
          <w:lang w:eastAsia="zh-CN"/>
        </w:rPr>
        <w:t xml:space="preserve"> million to</w:t>
      </w:r>
      <w:r>
        <w:rPr>
          <w:sz w:val="20"/>
          <w:szCs w:val="20"/>
        </w:rPr>
        <w:t xml:space="preserve"> RMB 5</w:t>
      </w:r>
      <w:r>
        <w:rPr>
          <w:sz w:val="20"/>
          <w:szCs w:val="20"/>
          <w:lang w:eastAsia="zh-CN"/>
        </w:rPr>
        <w:t>6.1</w:t>
      </w:r>
      <w:r>
        <w:rPr>
          <w:sz w:val="20"/>
          <w:szCs w:val="20"/>
        </w:rPr>
        <w:t xml:space="preserve"> million (US$ </w:t>
      </w:r>
      <w:r>
        <w:rPr>
          <w:sz w:val="20"/>
          <w:szCs w:val="20"/>
          <w:lang w:eastAsia="zh-CN"/>
        </w:rPr>
        <w:t>8.6</w:t>
      </w:r>
      <w:r>
        <w:rPr>
          <w:sz w:val="20"/>
          <w:szCs w:val="20"/>
        </w:rPr>
        <w:t xml:space="preserve"> million) </w:t>
      </w:r>
      <w:r>
        <w:rPr>
          <w:sz w:val="20"/>
          <w:szCs w:val="20"/>
          <w:lang w:eastAsia="zh-CN"/>
        </w:rPr>
        <w:t xml:space="preserve">from </w:t>
      </w:r>
      <w:r>
        <w:rPr>
          <w:sz w:val="20"/>
          <w:szCs w:val="20"/>
        </w:rPr>
        <w:t>RMB 142.3 million in the prior year</w:t>
      </w:r>
      <w:r w:rsidR="00206A68">
        <w:rPr>
          <w:rFonts w:hint="eastAsia"/>
          <w:sz w:val="20"/>
          <w:szCs w:val="20"/>
          <w:lang w:eastAsia="zh-CN"/>
        </w:rPr>
        <w:t xml:space="preserve"> </w:t>
      </w:r>
      <w:r>
        <w:rPr>
          <w:sz w:val="20"/>
          <w:szCs w:val="20"/>
        </w:rPr>
        <w:t xml:space="preserve">primarily due to </w:t>
      </w:r>
      <w:r w:rsidR="00DE26F8">
        <w:rPr>
          <w:rFonts w:hint="eastAsia"/>
          <w:sz w:val="20"/>
          <w:szCs w:val="20"/>
          <w:lang w:eastAsia="zh-CN"/>
        </w:rPr>
        <w:t xml:space="preserve">the </w:t>
      </w:r>
      <w:r>
        <w:rPr>
          <w:sz w:val="20"/>
          <w:szCs w:val="20"/>
        </w:rPr>
        <w:t>incurrence of IPO</w:t>
      </w:r>
      <w:r w:rsidR="00145349">
        <w:rPr>
          <w:rFonts w:hint="eastAsia"/>
          <w:sz w:val="20"/>
          <w:szCs w:val="20"/>
          <w:lang w:eastAsia="zh-CN"/>
        </w:rPr>
        <w:t>-related expenses</w:t>
      </w:r>
      <w:r>
        <w:rPr>
          <w:sz w:val="20"/>
          <w:szCs w:val="20"/>
        </w:rPr>
        <w:t>, one-off</w:t>
      </w:r>
      <w:r w:rsidR="00145349">
        <w:rPr>
          <w:rFonts w:hint="eastAsia"/>
          <w:sz w:val="20"/>
          <w:szCs w:val="20"/>
          <w:lang w:eastAsia="zh-CN"/>
        </w:rPr>
        <w:t xml:space="preserve"> expenses</w:t>
      </w:r>
      <w:r>
        <w:rPr>
          <w:sz w:val="20"/>
          <w:szCs w:val="20"/>
        </w:rPr>
        <w:t>, and share-based compensation.</w:t>
      </w:r>
    </w:p>
    <w:p w:rsidR="00FB2F06" w:rsidRPr="00BC481B" w:rsidRDefault="00FB2F06" w:rsidP="00866CA8">
      <w:pPr>
        <w:pStyle w:val="a3"/>
        <w:spacing w:before="0" w:beforeAutospacing="0" w:after="0" w:afterAutospacing="0"/>
        <w:jc w:val="both"/>
        <w:divId w:val="1081558984"/>
        <w:rPr>
          <w:sz w:val="20"/>
          <w:szCs w:val="20"/>
        </w:rPr>
      </w:pPr>
    </w:p>
    <w:p w:rsidR="00811768" w:rsidRPr="00BC481B" w:rsidRDefault="00592C21" w:rsidP="00866CA8">
      <w:pPr>
        <w:pStyle w:val="a3"/>
        <w:spacing w:before="0" w:beforeAutospacing="0" w:after="0" w:afterAutospacing="0"/>
        <w:jc w:val="both"/>
        <w:divId w:val="1081558984"/>
        <w:rPr>
          <w:sz w:val="20"/>
          <w:szCs w:val="20"/>
        </w:rPr>
      </w:pPr>
      <w:r>
        <w:rPr>
          <w:sz w:val="20"/>
          <w:szCs w:val="20"/>
        </w:rPr>
        <w:t xml:space="preserve">Adjusted EBITDA for the full year of 2017 </w:t>
      </w:r>
      <w:r>
        <w:rPr>
          <w:sz w:val="20"/>
          <w:szCs w:val="20"/>
          <w:lang w:eastAsia="zh-CN"/>
        </w:rPr>
        <w:t xml:space="preserve">increased by 70.4% </w:t>
      </w:r>
      <w:r w:rsidR="0047065D">
        <w:rPr>
          <w:sz w:val="20"/>
          <w:szCs w:val="20"/>
          <w:lang w:eastAsia="zh-CN"/>
        </w:rPr>
        <w:t>year-over-year</w:t>
      </w:r>
      <w:r>
        <w:rPr>
          <w:sz w:val="20"/>
          <w:szCs w:val="20"/>
          <w:lang w:eastAsia="zh-CN"/>
        </w:rPr>
        <w:t xml:space="preserve"> to</w:t>
      </w:r>
      <w:r>
        <w:rPr>
          <w:sz w:val="20"/>
          <w:szCs w:val="20"/>
        </w:rPr>
        <w:t> RMB 24</w:t>
      </w:r>
      <w:r>
        <w:rPr>
          <w:sz w:val="20"/>
          <w:szCs w:val="20"/>
          <w:lang w:eastAsia="zh-CN"/>
        </w:rPr>
        <w:t>2.5</w:t>
      </w:r>
      <w:r>
        <w:rPr>
          <w:sz w:val="20"/>
          <w:szCs w:val="20"/>
        </w:rPr>
        <w:t xml:space="preserve"> million (US$ </w:t>
      </w:r>
      <w:r>
        <w:rPr>
          <w:sz w:val="20"/>
          <w:szCs w:val="20"/>
          <w:lang w:eastAsia="zh-CN"/>
        </w:rPr>
        <w:t>37.3</w:t>
      </w:r>
      <w:r>
        <w:rPr>
          <w:sz w:val="20"/>
          <w:szCs w:val="20"/>
        </w:rPr>
        <w:t xml:space="preserve"> million) from RMB 142.3 million in the prior year.</w:t>
      </w:r>
    </w:p>
    <w:p w:rsidR="008116AE" w:rsidRPr="00BC481B" w:rsidRDefault="008116AE"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Adjusted EBITDA margin increased to 25.</w:t>
      </w:r>
      <w:r>
        <w:rPr>
          <w:sz w:val="20"/>
          <w:szCs w:val="20"/>
          <w:lang w:eastAsia="zh-CN"/>
        </w:rPr>
        <w:t>0</w:t>
      </w:r>
      <w:r>
        <w:rPr>
          <w:sz w:val="20"/>
          <w:szCs w:val="20"/>
        </w:rPr>
        <w:t>% for the full year of 2017 from 20.0% in the prior year.</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For details on the calculation of and reconciliation to the nearest GAAP measures for each of </w:t>
      </w:r>
      <w:r w:rsidR="00145349">
        <w:rPr>
          <w:sz w:val="20"/>
          <w:szCs w:val="20"/>
        </w:rPr>
        <w:t>non-GAAP</w:t>
      </w:r>
      <w:r>
        <w:rPr>
          <w:sz w:val="20"/>
          <w:szCs w:val="20"/>
        </w:rPr>
        <w:t xml:space="preserve"> net income, EBITDA and adjusted EBITDA, see “About Non-GAAP Financial Measures” and “Reconciliation of GAAP and Non-GAAP Results.”</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b/>
          <w:bCs/>
          <w:sz w:val="20"/>
          <w:szCs w:val="20"/>
        </w:rPr>
        <w:t xml:space="preserve">Net </w:t>
      </w:r>
      <w:r w:rsidR="00D567ED">
        <w:rPr>
          <w:rFonts w:hint="eastAsia"/>
          <w:b/>
          <w:bCs/>
          <w:sz w:val="20"/>
          <w:szCs w:val="20"/>
          <w:lang w:eastAsia="zh-CN"/>
        </w:rPr>
        <w:t>I</w:t>
      </w:r>
      <w:r>
        <w:rPr>
          <w:b/>
          <w:bCs/>
          <w:sz w:val="20"/>
          <w:szCs w:val="20"/>
        </w:rPr>
        <w:t>ncome</w:t>
      </w:r>
      <w:r w:rsidR="004A17CB">
        <w:rPr>
          <w:rFonts w:hint="eastAsia"/>
          <w:b/>
          <w:bCs/>
          <w:sz w:val="20"/>
          <w:szCs w:val="20"/>
          <w:lang w:eastAsia="zh-CN"/>
        </w:rPr>
        <w:t xml:space="preserve"> / </w:t>
      </w:r>
      <w:r w:rsidR="004A17CB">
        <w:rPr>
          <w:b/>
          <w:bCs/>
          <w:sz w:val="20"/>
          <w:szCs w:val="20"/>
          <w:lang w:eastAsia="zh-CN"/>
        </w:rPr>
        <w:t>(L</w:t>
      </w:r>
      <w:r w:rsidR="004A17CB">
        <w:rPr>
          <w:b/>
          <w:bCs/>
          <w:sz w:val="20"/>
          <w:szCs w:val="20"/>
        </w:rPr>
        <w:t>oss</w:t>
      </w:r>
      <w:r w:rsidR="004A17CB">
        <w:rPr>
          <w:b/>
          <w:bCs/>
          <w:sz w:val="20"/>
          <w:szCs w:val="20"/>
          <w:lang w:eastAsia="zh-CN"/>
        </w:rPr>
        <w:t>)</w:t>
      </w:r>
      <w:r>
        <w:rPr>
          <w:b/>
          <w:bCs/>
          <w:sz w:val="20"/>
          <w:szCs w:val="20"/>
        </w:rPr>
        <w:t xml:space="preserve"> per </w:t>
      </w:r>
      <w:r w:rsidR="004A17CB">
        <w:rPr>
          <w:rFonts w:hint="eastAsia"/>
          <w:b/>
          <w:bCs/>
          <w:sz w:val="20"/>
          <w:szCs w:val="20"/>
          <w:lang w:eastAsia="zh-CN"/>
        </w:rPr>
        <w:t xml:space="preserve">Ordinary </w:t>
      </w:r>
      <w:r>
        <w:rPr>
          <w:b/>
          <w:bCs/>
          <w:sz w:val="20"/>
          <w:szCs w:val="20"/>
        </w:rPr>
        <w:t>Share</w:t>
      </w:r>
    </w:p>
    <w:p w:rsidR="00FB2F06" w:rsidRPr="00BC481B" w:rsidRDefault="00FB2F06" w:rsidP="00866CA8">
      <w:pPr>
        <w:pStyle w:val="a3"/>
        <w:spacing w:before="0" w:beforeAutospacing="0" w:after="0" w:afterAutospacing="0"/>
        <w:jc w:val="both"/>
        <w:divId w:val="1081558984"/>
        <w:rPr>
          <w:sz w:val="20"/>
          <w:szCs w:val="20"/>
        </w:rPr>
      </w:pPr>
    </w:p>
    <w:p w:rsidR="00FB2F06" w:rsidRDefault="00592C21" w:rsidP="00866CA8">
      <w:pPr>
        <w:pStyle w:val="a3"/>
        <w:spacing w:before="0" w:beforeAutospacing="0" w:after="0" w:afterAutospacing="0"/>
        <w:jc w:val="both"/>
        <w:divId w:val="1081558984"/>
        <w:rPr>
          <w:sz w:val="20"/>
          <w:szCs w:val="20"/>
          <w:lang w:eastAsia="zh-CN"/>
        </w:rPr>
      </w:pPr>
      <w:r>
        <w:rPr>
          <w:sz w:val="20"/>
          <w:szCs w:val="20"/>
        </w:rPr>
        <w:t xml:space="preserve">Basic and diluted net loss per ordinary share attributable to RISE was RMB </w:t>
      </w:r>
      <w:r>
        <w:rPr>
          <w:sz w:val="20"/>
          <w:szCs w:val="20"/>
          <w:lang w:eastAsia="zh-CN"/>
        </w:rPr>
        <w:t>0.47</w:t>
      </w:r>
      <w:r>
        <w:rPr>
          <w:sz w:val="20"/>
          <w:szCs w:val="20"/>
        </w:rPr>
        <w:t xml:space="preserve"> (US$ </w:t>
      </w:r>
      <w:r>
        <w:rPr>
          <w:sz w:val="20"/>
          <w:szCs w:val="20"/>
          <w:lang w:eastAsia="zh-CN"/>
        </w:rPr>
        <w:t>0.07</w:t>
      </w:r>
      <w:r>
        <w:rPr>
          <w:sz w:val="20"/>
          <w:szCs w:val="20"/>
        </w:rPr>
        <w:t xml:space="preserve">) for the full year of 2017. </w:t>
      </w:r>
      <w:r w:rsidR="00145349">
        <w:rPr>
          <w:sz w:val="20"/>
          <w:szCs w:val="20"/>
        </w:rPr>
        <w:t>Non-GAAP</w:t>
      </w:r>
      <w:r>
        <w:rPr>
          <w:sz w:val="20"/>
          <w:szCs w:val="20"/>
        </w:rPr>
        <w:t xml:space="preserve"> </w:t>
      </w:r>
      <w:r w:rsidR="00D567ED">
        <w:rPr>
          <w:rFonts w:hint="eastAsia"/>
          <w:sz w:val="20"/>
          <w:szCs w:val="20"/>
          <w:lang w:eastAsia="zh-CN"/>
        </w:rPr>
        <w:t>b</w:t>
      </w:r>
      <w:r>
        <w:rPr>
          <w:sz w:val="20"/>
          <w:szCs w:val="20"/>
        </w:rPr>
        <w:t xml:space="preserve">asic and diluted net income per ordinary share attributable to RISE was RMB </w:t>
      </w:r>
      <w:r>
        <w:rPr>
          <w:sz w:val="20"/>
          <w:szCs w:val="20"/>
          <w:lang w:eastAsia="zh-CN"/>
        </w:rPr>
        <w:t xml:space="preserve">1.26 </w:t>
      </w:r>
      <w:r>
        <w:rPr>
          <w:sz w:val="20"/>
          <w:szCs w:val="20"/>
        </w:rPr>
        <w:t>(US$</w:t>
      </w:r>
      <w:r>
        <w:rPr>
          <w:sz w:val="20"/>
          <w:szCs w:val="20"/>
          <w:lang w:eastAsia="zh-CN"/>
        </w:rPr>
        <w:t xml:space="preserve"> 0.19</w:t>
      </w:r>
      <w:r>
        <w:rPr>
          <w:sz w:val="20"/>
          <w:szCs w:val="20"/>
        </w:rPr>
        <w:t>)</w:t>
      </w:r>
      <w:r>
        <w:rPr>
          <w:sz w:val="20"/>
          <w:szCs w:val="20"/>
          <w:lang w:eastAsia="zh-CN"/>
        </w:rPr>
        <w:t xml:space="preserve"> and </w:t>
      </w:r>
      <w:r w:rsidR="00BE54CB">
        <w:rPr>
          <w:rFonts w:hint="eastAsia"/>
          <w:sz w:val="20"/>
          <w:szCs w:val="20"/>
          <w:lang w:eastAsia="zh-CN"/>
        </w:rPr>
        <w:t xml:space="preserve">RMB </w:t>
      </w:r>
      <w:r>
        <w:rPr>
          <w:sz w:val="20"/>
          <w:szCs w:val="20"/>
          <w:lang w:eastAsia="zh-CN"/>
        </w:rPr>
        <w:t>1.2</w:t>
      </w:r>
      <w:r w:rsidR="007B1EAD">
        <w:rPr>
          <w:rFonts w:hint="eastAsia"/>
          <w:sz w:val="20"/>
          <w:szCs w:val="20"/>
          <w:lang w:eastAsia="zh-CN"/>
        </w:rPr>
        <w:t>2</w:t>
      </w:r>
      <w:r w:rsidR="005F7AE4">
        <w:rPr>
          <w:rFonts w:hint="eastAsia"/>
          <w:sz w:val="20"/>
          <w:szCs w:val="20"/>
          <w:lang w:eastAsia="zh-CN"/>
        </w:rPr>
        <w:t xml:space="preserve"> </w:t>
      </w:r>
      <w:r>
        <w:rPr>
          <w:sz w:val="20"/>
          <w:szCs w:val="20"/>
        </w:rPr>
        <w:t>(US$</w:t>
      </w:r>
      <w:r>
        <w:rPr>
          <w:sz w:val="20"/>
          <w:szCs w:val="20"/>
          <w:lang w:eastAsia="zh-CN"/>
        </w:rPr>
        <w:t xml:space="preserve"> 0.19</w:t>
      </w:r>
      <w:r>
        <w:rPr>
          <w:sz w:val="20"/>
          <w:szCs w:val="20"/>
        </w:rPr>
        <w:t>)</w:t>
      </w:r>
      <w:r>
        <w:rPr>
          <w:sz w:val="20"/>
          <w:szCs w:val="20"/>
          <w:lang w:eastAsia="zh-CN"/>
        </w:rPr>
        <w:t xml:space="preserve"> respectively</w:t>
      </w:r>
      <w:r w:rsidR="00D567ED">
        <w:rPr>
          <w:rFonts w:hint="eastAsia"/>
          <w:sz w:val="20"/>
          <w:szCs w:val="20"/>
          <w:lang w:eastAsia="zh-CN"/>
        </w:rPr>
        <w:t>,</w:t>
      </w:r>
      <w:r>
        <w:rPr>
          <w:sz w:val="20"/>
          <w:szCs w:val="20"/>
        </w:rPr>
        <w:t xml:space="preserve"> for the full year of 2017. For details on the calculation of and reconciliation to the nearest GAAP measures for </w:t>
      </w:r>
      <w:r w:rsidR="00145349">
        <w:rPr>
          <w:sz w:val="20"/>
          <w:szCs w:val="20"/>
        </w:rPr>
        <w:t>non-GAAP</w:t>
      </w:r>
      <w:r>
        <w:rPr>
          <w:sz w:val="20"/>
          <w:szCs w:val="20"/>
        </w:rPr>
        <w:t xml:space="preserve"> net income per share, see “About Non-GAAP Financial Measures” and “Reconciliation of GAAP and Non-GAAP Results.”</w:t>
      </w:r>
    </w:p>
    <w:p w:rsidR="00132235" w:rsidRDefault="00132235" w:rsidP="00866CA8">
      <w:pPr>
        <w:pStyle w:val="a3"/>
        <w:spacing w:before="0" w:beforeAutospacing="0" w:after="0" w:afterAutospacing="0"/>
        <w:jc w:val="both"/>
        <w:divId w:val="1081558984"/>
        <w:rPr>
          <w:sz w:val="20"/>
          <w:szCs w:val="20"/>
          <w:lang w:eastAsia="zh-CN"/>
        </w:rPr>
      </w:pPr>
    </w:p>
    <w:p w:rsidR="00132235" w:rsidRPr="00BC481B" w:rsidRDefault="00132235" w:rsidP="00132235">
      <w:pPr>
        <w:pStyle w:val="a3"/>
        <w:spacing w:before="0" w:beforeAutospacing="0" w:after="0" w:afterAutospacing="0"/>
        <w:jc w:val="both"/>
        <w:divId w:val="1081558984"/>
        <w:rPr>
          <w:sz w:val="20"/>
          <w:szCs w:val="20"/>
        </w:rPr>
      </w:pPr>
      <w:r>
        <w:rPr>
          <w:b/>
          <w:bCs/>
          <w:sz w:val="20"/>
          <w:szCs w:val="20"/>
        </w:rPr>
        <w:t>Cash Flow</w:t>
      </w:r>
    </w:p>
    <w:p w:rsidR="00132235" w:rsidRPr="00BC481B" w:rsidRDefault="00132235" w:rsidP="00132235">
      <w:pPr>
        <w:pStyle w:val="a3"/>
        <w:spacing w:before="0" w:beforeAutospacing="0" w:after="0" w:afterAutospacing="0"/>
        <w:jc w:val="both"/>
        <w:divId w:val="1081558984"/>
        <w:rPr>
          <w:sz w:val="20"/>
          <w:szCs w:val="20"/>
        </w:rPr>
      </w:pPr>
    </w:p>
    <w:p w:rsidR="00132235" w:rsidRPr="00BC481B" w:rsidRDefault="00132235" w:rsidP="00132235">
      <w:pPr>
        <w:pStyle w:val="a3"/>
        <w:spacing w:before="0" w:beforeAutospacing="0" w:after="0" w:afterAutospacing="0"/>
        <w:jc w:val="both"/>
        <w:divId w:val="1081558984"/>
        <w:rPr>
          <w:sz w:val="20"/>
          <w:szCs w:val="20"/>
        </w:rPr>
      </w:pPr>
      <w:r>
        <w:rPr>
          <w:sz w:val="20"/>
          <w:szCs w:val="20"/>
        </w:rPr>
        <w:t xml:space="preserve">Net cash provided by operating activities for </w:t>
      </w:r>
      <w:r>
        <w:rPr>
          <w:rFonts w:hint="eastAsia"/>
          <w:sz w:val="20"/>
          <w:szCs w:val="20"/>
          <w:lang w:eastAsia="zh-CN"/>
        </w:rPr>
        <w:t>full year</w:t>
      </w:r>
      <w:r>
        <w:rPr>
          <w:sz w:val="20"/>
          <w:szCs w:val="20"/>
        </w:rPr>
        <w:t xml:space="preserve"> 2017 was RMB </w:t>
      </w:r>
      <w:r>
        <w:rPr>
          <w:rFonts w:hint="eastAsia"/>
          <w:sz w:val="20"/>
          <w:szCs w:val="20"/>
          <w:lang w:eastAsia="zh-CN"/>
        </w:rPr>
        <w:t>349.5</w:t>
      </w:r>
      <w:r>
        <w:rPr>
          <w:sz w:val="20"/>
          <w:szCs w:val="20"/>
        </w:rPr>
        <w:t xml:space="preserve"> million (US$ </w:t>
      </w:r>
      <w:r>
        <w:rPr>
          <w:rFonts w:hint="eastAsia"/>
          <w:sz w:val="20"/>
          <w:szCs w:val="20"/>
          <w:lang w:eastAsia="zh-CN"/>
        </w:rPr>
        <w:t>53.7</w:t>
      </w:r>
      <w:r>
        <w:rPr>
          <w:sz w:val="20"/>
          <w:szCs w:val="20"/>
        </w:rPr>
        <w:t xml:space="preserve"> million), as compared with RMB </w:t>
      </w:r>
      <w:r>
        <w:rPr>
          <w:rFonts w:hint="eastAsia"/>
          <w:sz w:val="20"/>
          <w:szCs w:val="20"/>
          <w:lang w:eastAsia="zh-CN"/>
        </w:rPr>
        <w:t>240.1</w:t>
      </w:r>
      <w:r>
        <w:rPr>
          <w:sz w:val="20"/>
          <w:szCs w:val="20"/>
        </w:rPr>
        <w:t xml:space="preserve"> million in the prior year.</w:t>
      </w:r>
    </w:p>
    <w:p w:rsidR="00132235" w:rsidRPr="00BC481B" w:rsidRDefault="00132235" w:rsidP="00132235">
      <w:pPr>
        <w:pStyle w:val="a3"/>
        <w:spacing w:before="0" w:beforeAutospacing="0" w:after="0" w:afterAutospacing="0"/>
        <w:jc w:val="both"/>
        <w:divId w:val="1081558984"/>
        <w:rPr>
          <w:sz w:val="20"/>
          <w:szCs w:val="20"/>
        </w:rPr>
      </w:pPr>
    </w:p>
    <w:p w:rsidR="00132235" w:rsidRPr="00BC481B" w:rsidRDefault="00132235" w:rsidP="00132235">
      <w:pPr>
        <w:pStyle w:val="a3"/>
        <w:spacing w:before="0" w:beforeAutospacing="0" w:after="0" w:afterAutospacing="0"/>
        <w:jc w:val="both"/>
        <w:divId w:val="1081558984"/>
        <w:rPr>
          <w:sz w:val="20"/>
          <w:szCs w:val="20"/>
        </w:rPr>
      </w:pPr>
      <w:r>
        <w:rPr>
          <w:b/>
          <w:bCs/>
          <w:sz w:val="20"/>
          <w:szCs w:val="20"/>
        </w:rPr>
        <w:t>Balance Sheet</w:t>
      </w:r>
    </w:p>
    <w:p w:rsidR="00132235" w:rsidRPr="00BC481B" w:rsidRDefault="00132235" w:rsidP="00132235">
      <w:pPr>
        <w:pStyle w:val="a3"/>
        <w:spacing w:before="0" w:beforeAutospacing="0" w:after="0" w:afterAutospacing="0"/>
        <w:jc w:val="both"/>
        <w:divId w:val="1081558984"/>
        <w:rPr>
          <w:sz w:val="20"/>
          <w:szCs w:val="20"/>
        </w:rPr>
      </w:pPr>
    </w:p>
    <w:p w:rsidR="00132235" w:rsidRPr="00BC481B" w:rsidRDefault="00132235" w:rsidP="00132235">
      <w:pPr>
        <w:pStyle w:val="a3"/>
        <w:spacing w:before="0" w:beforeAutospacing="0" w:after="0" w:afterAutospacing="0"/>
        <w:jc w:val="both"/>
        <w:divId w:val="1081558984"/>
        <w:rPr>
          <w:sz w:val="20"/>
          <w:szCs w:val="20"/>
        </w:rPr>
      </w:pPr>
      <w:r>
        <w:rPr>
          <w:sz w:val="20"/>
          <w:szCs w:val="20"/>
        </w:rPr>
        <w:t>As of December 31, 2017, the Company had combined cash and cash equivalents</w:t>
      </w:r>
      <w:r w:rsidR="00BD059B">
        <w:rPr>
          <w:rFonts w:hint="eastAsia"/>
          <w:sz w:val="20"/>
          <w:szCs w:val="20"/>
          <w:lang w:eastAsia="zh-CN"/>
        </w:rPr>
        <w:t xml:space="preserve"> and</w:t>
      </w:r>
      <w:r>
        <w:rPr>
          <w:sz w:val="20"/>
          <w:szCs w:val="20"/>
        </w:rPr>
        <w:t xml:space="preserve"> restricted cash of RMB 1,084.9 million (US$ </w:t>
      </w:r>
      <w:r>
        <w:rPr>
          <w:sz w:val="20"/>
          <w:szCs w:val="20"/>
          <w:lang w:eastAsia="zh-CN"/>
        </w:rPr>
        <w:t>166.7</w:t>
      </w:r>
      <w:r>
        <w:rPr>
          <w:sz w:val="20"/>
          <w:szCs w:val="20"/>
        </w:rPr>
        <w:t xml:space="preserve"> million), as compared </w:t>
      </w:r>
      <w:r w:rsidR="0041570D">
        <w:rPr>
          <w:rFonts w:hint="eastAsia"/>
          <w:sz w:val="20"/>
          <w:szCs w:val="20"/>
          <w:lang w:eastAsia="zh-CN"/>
        </w:rPr>
        <w:t>with</w:t>
      </w:r>
      <w:r w:rsidR="0041570D">
        <w:rPr>
          <w:sz w:val="20"/>
          <w:szCs w:val="20"/>
        </w:rPr>
        <w:t xml:space="preserve"> </w:t>
      </w:r>
      <w:r>
        <w:rPr>
          <w:sz w:val="20"/>
          <w:szCs w:val="20"/>
        </w:rPr>
        <w:t>RMB 656.7 million as of December 31, 2016.</w:t>
      </w:r>
    </w:p>
    <w:p w:rsidR="00132235" w:rsidRPr="00BC481B" w:rsidRDefault="00132235" w:rsidP="00132235">
      <w:pPr>
        <w:pStyle w:val="a3"/>
        <w:spacing w:before="0" w:beforeAutospacing="0" w:after="0" w:afterAutospacing="0"/>
        <w:jc w:val="both"/>
        <w:divId w:val="1081558984"/>
        <w:rPr>
          <w:sz w:val="20"/>
          <w:szCs w:val="20"/>
        </w:rPr>
      </w:pPr>
    </w:p>
    <w:p w:rsidR="00132235" w:rsidRPr="00BC481B" w:rsidRDefault="00132235" w:rsidP="00132235">
      <w:pPr>
        <w:pStyle w:val="a3"/>
        <w:spacing w:before="0" w:beforeAutospacing="0" w:after="0" w:afterAutospacing="0"/>
        <w:jc w:val="both"/>
        <w:divId w:val="1081558984"/>
        <w:rPr>
          <w:sz w:val="20"/>
          <w:szCs w:val="20"/>
        </w:rPr>
      </w:pPr>
      <w:r>
        <w:rPr>
          <w:sz w:val="20"/>
          <w:szCs w:val="20"/>
        </w:rPr>
        <w:t>Deferred revenue and customer advances was RMB 81</w:t>
      </w:r>
      <w:r>
        <w:rPr>
          <w:sz w:val="20"/>
          <w:szCs w:val="20"/>
          <w:lang w:eastAsia="zh-CN"/>
        </w:rPr>
        <w:t>2.8</w:t>
      </w:r>
      <w:r>
        <w:rPr>
          <w:sz w:val="20"/>
          <w:szCs w:val="20"/>
        </w:rPr>
        <w:t xml:space="preserve"> million (US$ </w:t>
      </w:r>
      <w:r>
        <w:rPr>
          <w:sz w:val="20"/>
          <w:szCs w:val="20"/>
          <w:lang w:eastAsia="zh-CN"/>
        </w:rPr>
        <w:t>124.9</w:t>
      </w:r>
      <w:r>
        <w:rPr>
          <w:sz w:val="20"/>
          <w:szCs w:val="20"/>
        </w:rPr>
        <w:t xml:space="preserve"> million) </w:t>
      </w:r>
      <w:r w:rsidR="0086718B" w:rsidRPr="0086718B">
        <w:rPr>
          <w:sz w:val="20"/>
          <w:szCs w:val="20"/>
        </w:rPr>
        <w:t>as of December 31, 2017</w:t>
      </w:r>
      <w:r w:rsidR="00D567ED">
        <w:rPr>
          <w:rFonts w:hint="eastAsia"/>
          <w:sz w:val="20"/>
          <w:szCs w:val="20"/>
          <w:lang w:eastAsia="zh-CN"/>
        </w:rPr>
        <w:t>,</w:t>
      </w:r>
      <w:r w:rsidR="0086718B" w:rsidRPr="0086718B">
        <w:rPr>
          <w:sz w:val="20"/>
          <w:szCs w:val="20"/>
        </w:rPr>
        <w:t xml:space="preserve"> representing an increase of 35.2% from RMB 601.3 million as of December 31, 2016</w:t>
      </w:r>
      <w:r>
        <w:rPr>
          <w:sz w:val="20"/>
          <w:szCs w:val="20"/>
        </w:rPr>
        <w:t>, primarily due to the increase in pre-paid tuition and fees from growing student enrollment, which was partially offset by recognized revenue as courses were delivered. Deferred revenue and customer advances mainly consisted of upfront tuition fee payments from students and initial franchise fees from the Company’s franchise partners.</w:t>
      </w:r>
    </w:p>
    <w:p w:rsidR="00132235" w:rsidRPr="00132235" w:rsidRDefault="00132235" w:rsidP="00866CA8">
      <w:pPr>
        <w:pStyle w:val="a3"/>
        <w:spacing w:before="0" w:beforeAutospacing="0" w:after="0" w:afterAutospacing="0"/>
        <w:jc w:val="both"/>
        <w:divId w:val="1081558984"/>
        <w:rPr>
          <w:sz w:val="20"/>
          <w:szCs w:val="20"/>
          <w:lang w:eastAsia="zh-CN"/>
        </w:rPr>
      </w:pP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lastRenderedPageBreak/>
        <w:t>BUSINESS OUTLOOK</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For the first quarter of 2018, the Company expects its total revenues to be in the range </w:t>
      </w:r>
      <w:r w:rsidR="00121BEA">
        <w:rPr>
          <w:rFonts w:hint="eastAsia"/>
          <w:sz w:val="20"/>
          <w:szCs w:val="20"/>
          <w:lang w:eastAsia="zh-CN"/>
        </w:rPr>
        <w:t>between</w:t>
      </w:r>
      <w:r w:rsidR="00121BEA">
        <w:rPr>
          <w:sz w:val="20"/>
          <w:szCs w:val="20"/>
        </w:rPr>
        <w:t xml:space="preserve"> </w:t>
      </w:r>
      <w:r>
        <w:rPr>
          <w:sz w:val="20"/>
          <w:szCs w:val="20"/>
        </w:rPr>
        <w:t xml:space="preserve">RMB </w:t>
      </w:r>
      <w:r>
        <w:rPr>
          <w:sz w:val="20"/>
          <w:szCs w:val="20"/>
          <w:lang w:eastAsia="zh-CN"/>
        </w:rPr>
        <w:t>255</w:t>
      </w:r>
      <w:r>
        <w:rPr>
          <w:sz w:val="20"/>
          <w:szCs w:val="20"/>
        </w:rPr>
        <w:t xml:space="preserve"> million </w:t>
      </w:r>
      <w:r w:rsidR="00121BEA">
        <w:rPr>
          <w:rFonts w:hint="eastAsia"/>
          <w:sz w:val="20"/>
          <w:szCs w:val="20"/>
          <w:lang w:eastAsia="zh-CN"/>
        </w:rPr>
        <w:t>and</w:t>
      </w:r>
      <w:r w:rsidR="00121BEA">
        <w:rPr>
          <w:sz w:val="20"/>
          <w:szCs w:val="20"/>
        </w:rPr>
        <w:t xml:space="preserve"> </w:t>
      </w:r>
      <w:r>
        <w:rPr>
          <w:sz w:val="20"/>
          <w:szCs w:val="20"/>
        </w:rPr>
        <w:t xml:space="preserve">RMB </w:t>
      </w:r>
      <w:r>
        <w:rPr>
          <w:sz w:val="20"/>
          <w:szCs w:val="20"/>
          <w:lang w:eastAsia="zh-CN"/>
        </w:rPr>
        <w:t>265</w:t>
      </w:r>
      <w:r>
        <w:rPr>
          <w:sz w:val="20"/>
          <w:szCs w:val="20"/>
        </w:rPr>
        <w:t xml:space="preserve"> million, representing a </w:t>
      </w:r>
      <w:r w:rsidR="0047065D">
        <w:rPr>
          <w:sz w:val="20"/>
          <w:szCs w:val="20"/>
        </w:rPr>
        <w:t>year-over-year</w:t>
      </w:r>
      <w:r>
        <w:rPr>
          <w:sz w:val="20"/>
          <w:szCs w:val="20"/>
        </w:rPr>
        <w:t xml:space="preserve"> growth rate of approximately </w:t>
      </w:r>
      <w:r>
        <w:rPr>
          <w:sz w:val="20"/>
          <w:szCs w:val="20"/>
          <w:lang w:eastAsia="zh-CN"/>
        </w:rPr>
        <w:t>21</w:t>
      </w:r>
      <w:r>
        <w:rPr>
          <w:sz w:val="20"/>
          <w:szCs w:val="20"/>
        </w:rPr>
        <w:t xml:space="preserve">% to </w:t>
      </w:r>
      <w:r>
        <w:rPr>
          <w:sz w:val="20"/>
          <w:szCs w:val="20"/>
          <w:lang w:eastAsia="zh-CN"/>
        </w:rPr>
        <w:t>26</w:t>
      </w:r>
      <w:r>
        <w:rPr>
          <w:sz w:val="20"/>
          <w:szCs w:val="20"/>
        </w:rPr>
        <w:t>%.</w:t>
      </w:r>
      <w:r w:rsidR="001B492B">
        <w:rPr>
          <w:rFonts w:hint="eastAsia"/>
          <w:sz w:val="20"/>
          <w:szCs w:val="20"/>
          <w:lang w:eastAsia="zh-CN"/>
        </w:rPr>
        <w:t xml:space="preserve"> </w:t>
      </w:r>
      <w:r>
        <w:rPr>
          <w:sz w:val="20"/>
          <w:szCs w:val="20"/>
        </w:rPr>
        <w:t>This forecast reflects the Company's current and preliminary view on the market and operational conditions, which is subject to change.</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Conference Call Information</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RISE Education will hold a conference call on Thursday, March 15, 2018 at 8:00 pm Eastern Time (or Friday, March 16, 2018 at 8:00 am Beijing Time) to discuss the financial results. Participants may access the call by dialing the following numbers:</w:t>
      </w:r>
    </w:p>
    <w:p w:rsidR="00390C09" w:rsidRPr="00BC481B" w:rsidRDefault="00390C09" w:rsidP="00866CA8">
      <w:pPr>
        <w:pStyle w:val="a3"/>
        <w:spacing w:before="0" w:beforeAutospacing="0" w:after="0" w:afterAutospacing="0"/>
        <w:jc w:val="both"/>
        <w:divId w:val="1081558984"/>
        <w:rPr>
          <w:sz w:val="20"/>
          <w:szCs w:val="20"/>
        </w:rPr>
      </w:pPr>
    </w:p>
    <w:p w:rsidR="00390C09" w:rsidRPr="00BC481B" w:rsidRDefault="00592C21" w:rsidP="00390C09">
      <w:pPr>
        <w:pStyle w:val="a3"/>
        <w:spacing w:before="0" w:beforeAutospacing="0" w:after="0" w:afterAutospacing="0"/>
        <w:jc w:val="both"/>
        <w:divId w:val="1081558984"/>
        <w:rPr>
          <w:sz w:val="20"/>
          <w:szCs w:val="20"/>
        </w:rPr>
      </w:pPr>
      <w:r>
        <w:rPr>
          <w:sz w:val="20"/>
          <w:szCs w:val="20"/>
        </w:rPr>
        <w:t>United States:</w:t>
      </w:r>
      <w:r>
        <w:rPr>
          <w:sz w:val="20"/>
          <w:szCs w:val="20"/>
        </w:rPr>
        <w:tab/>
      </w:r>
      <w:r>
        <w:rPr>
          <w:sz w:val="20"/>
          <w:szCs w:val="20"/>
        </w:rPr>
        <w:tab/>
        <w:t>+1-845-675-0437</w:t>
      </w:r>
    </w:p>
    <w:p w:rsidR="00390C09" w:rsidRPr="00BC481B" w:rsidRDefault="00592C21" w:rsidP="00390C09">
      <w:pPr>
        <w:pStyle w:val="a3"/>
        <w:spacing w:before="0" w:beforeAutospacing="0" w:after="0" w:afterAutospacing="0"/>
        <w:jc w:val="both"/>
        <w:divId w:val="1081558984"/>
        <w:rPr>
          <w:sz w:val="20"/>
          <w:szCs w:val="20"/>
        </w:rPr>
      </w:pPr>
      <w:r>
        <w:rPr>
          <w:sz w:val="20"/>
          <w:szCs w:val="20"/>
        </w:rPr>
        <w:t>International:</w:t>
      </w:r>
      <w:r>
        <w:rPr>
          <w:sz w:val="20"/>
          <w:szCs w:val="20"/>
        </w:rPr>
        <w:tab/>
      </w:r>
      <w:r>
        <w:rPr>
          <w:sz w:val="20"/>
          <w:szCs w:val="20"/>
        </w:rPr>
        <w:tab/>
        <w:t>+65-6713-5090</w:t>
      </w:r>
    </w:p>
    <w:p w:rsidR="00390C09" w:rsidRPr="00BC481B" w:rsidRDefault="00592C21" w:rsidP="00390C09">
      <w:pPr>
        <w:pStyle w:val="a3"/>
        <w:spacing w:before="0" w:beforeAutospacing="0" w:after="0" w:afterAutospacing="0"/>
        <w:jc w:val="both"/>
        <w:divId w:val="1081558984"/>
        <w:rPr>
          <w:sz w:val="20"/>
          <w:szCs w:val="20"/>
        </w:rPr>
      </w:pPr>
      <w:r>
        <w:rPr>
          <w:sz w:val="20"/>
          <w:szCs w:val="20"/>
        </w:rPr>
        <w:t>China Domestic:</w:t>
      </w:r>
      <w:r>
        <w:rPr>
          <w:sz w:val="20"/>
          <w:szCs w:val="20"/>
        </w:rPr>
        <w:tab/>
      </w:r>
      <w:r>
        <w:rPr>
          <w:sz w:val="20"/>
          <w:szCs w:val="20"/>
        </w:rPr>
        <w:tab/>
        <w:t>400-6208-038</w:t>
      </w:r>
    </w:p>
    <w:p w:rsidR="00390C09" w:rsidRPr="00BC481B" w:rsidRDefault="00592C21" w:rsidP="00390C09">
      <w:pPr>
        <w:pStyle w:val="a3"/>
        <w:spacing w:before="0" w:beforeAutospacing="0" w:after="0" w:afterAutospacing="0"/>
        <w:jc w:val="both"/>
        <w:divId w:val="1081558984"/>
        <w:rPr>
          <w:sz w:val="20"/>
          <w:szCs w:val="20"/>
        </w:rPr>
      </w:pPr>
      <w:r>
        <w:rPr>
          <w:sz w:val="20"/>
          <w:szCs w:val="20"/>
        </w:rPr>
        <w:t>Hong Kong:</w:t>
      </w:r>
      <w:r>
        <w:rPr>
          <w:sz w:val="20"/>
          <w:szCs w:val="20"/>
        </w:rPr>
        <w:tab/>
      </w:r>
      <w:r>
        <w:rPr>
          <w:sz w:val="20"/>
          <w:szCs w:val="20"/>
        </w:rPr>
        <w:tab/>
        <w:t>+852-3018-6771</w:t>
      </w:r>
    </w:p>
    <w:p w:rsidR="00FB2F06" w:rsidRPr="00BC481B" w:rsidRDefault="00592C21" w:rsidP="00390C09">
      <w:pPr>
        <w:pStyle w:val="a3"/>
        <w:spacing w:before="0" w:beforeAutospacing="0" w:after="0" w:afterAutospacing="0"/>
        <w:jc w:val="both"/>
        <w:divId w:val="1081558984"/>
        <w:rPr>
          <w:sz w:val="20"/>
          <w:szCs w:val="20"/>
        </w:rPr>
      </w:pPr>
      <w:r>
        <w:rPr>
          <w:sz w:val="20"/>
          <w:szCs w:val="20"/>
        </w:rPr>
        <w:t>Conference ID:</w:t>
      </w:r>
      <w:r>
        <w:rPr>
          <w:sz w:val="20"/>
          <w:szCs w:val="20"/>
        </w:rPr>
        <w:tab/>
      </w:r>
      <w:r>
        <w:rPr>
          <w:sz w:val="20"/>
          <w:szCs w:val="20"/>
        </w:rPr>
        <w:tab/>
        <w:t>#5746789</w:t>
      </w:r>
    </w:p>
    <w:p w:rsidR="00390C09" w:rsidRPr="00BC481B" w:rsidRDefault="00390C09" w:rsidP="00390C09">
      <w:pPr>
        <w:pStyle w:val="a3"/>
        <w:spacing w:before="0" w:beforeAutospacing="0" w:after="0" w:afterAutospacing="0"/>
        <w:jc w:val="both"/>
        <w:divId w:val="1081558984"/>
        <w:rPr>
          <w:sz w:val="20"/>
          <w:szCs w:val="20"/>
        </w:rPr>
      </w:pPr>
    </w:p>
    <w:p w:rsidR="00FB2F06" w:rsidRPr="00BC481B" w:rsidRDefault="00592C21" w:rsidP="00390C09">
      <w:pPr>
        <w:pStyle w:val="a3"/>
        <w:spacing w:before="0" w:beforeAutospacing="0" w:after="0" w:afterAutospacing="0"/>
        <w:jc w:val="both"/>
        <w:divId w:val="1081558984"/>
        <w:rPr>
          <w:sz w:val="20"/>
          <w:szCs w:val="20"/>
        </w:rPr>
      </w:pPr>
      <w:r>
        <w:rPr>
          <w:sz w:val="20"/>
          <w:szCs w:val="20"/>
        </w:rPr>
        <w:t>The replay will be accessible through March 23, 2018 by dialing the following numbers:</w:t>
      </w:r>
    </w:p>
    <w:p w:rsidR="00390C09" w:rsidRPr="00BC481B" w:rsidRDefault="00390C09" w:rsidP="00390C09">
      <w:pPr>
        <w:pStyle w:val="a3"/>
        <w:spacing w:before="0" w:beforeAutospacing="0" w:after="0" w:afterAutospacing="0"/>
        <w:jc w:val="both"/>
        <w:divId w:val="1081558984"/>
        <w:rPr>
          <w:sz w:val="20"/>
          <w:szCs w:val="20"/>
        </w:rPr>
      </w:pPr>
    </w:p>
    <w:p w:rsidR="00390C09" w:rsidRPr="00BC481B" w:rsidRDefault="00592C21" w:rsidP="00390C09">
      <w:pPr>
        <w:pStyle w:val="a3"/>
        <w:spacing w:before="0" w:beforeAutospacing="0" w:after="0" w:afterAutospacing="0"/>
        <w:jc w:val="both"/>
        <w:divId w:val="1081558984"/>
        <w:rPr>
          <w:sz w:val="20"/>
          <w:szCs w:val="20"/>
        </w:rPr>
      </w:pPr>
      <w:r>
        <w:rPr>
          <w:sz w:val="20"/>
          <w:szCs w:val="20"/>
        </w:rPr>
        <w:t>United States:</w:t>
      </w:r>
      <w:r>
        <w:rPr>
          <w:sz w:val="20"/>
          <w:szCs w:val="20"/>
        </w:rPr>
        <w:tab/>
      </w:r>
      <w:r>
        <w:rPr>
          <w:sz w:val="20"/>
          <w:szCs w:val="20"/>
        </w:rPr>
        <w:tab/>
        <w:t>+1-646-254-3697</w:t>
      </w:r>
    </w:p>
    <w:p w:rsidR="00390C09" w:rsidRPr="00BC481B" w:rsidRDefault="00592C21" w:rsidP="00390C09">
      <w:pPr>
        <w:pStyle w:val="a3"/>
        <w:spacing w:before="0" w:beforeAutospacing="0" w:after="0" w:afterAutospacing="0"/>
        <w:jc w:val="both"/>
        <w:divId w:val="1081558984"/>
        <w:rPr>
          <w:sz w:val="20"/>
          <w:szCs w:val="20"/>
        </w:rPr>
      </w:pPr>
      <w:r>
        <w:rPr>
          <w:sz w:val="20"/>
          <w:szCs w:val="20"/>
        </w:rPr>
        <w:t>International:</w:t>
      </w:r>
      <w:r>
        <w:rPr>
          <w:sz w:val="20"/>
          <w:szCs w:val="20"/>
        </w:rPr>
        <w:tab/>
      </w:r>
      <w:r>
        <w:rPr>
          <w:sz w:val="20"/>
          <w:szCs w:val="20"/>
        </w:rPr>
        <w:tab/>
        <w:t>+61-2-8199-0299</w:t>
      </w:r>
    </w:p>
    <w:p w:rsidR="00FB2F06" w:rsidRPr="00BC481B" w:rsidRDefault="00592C21" w:rsidP="00390C09">
      <w:pPr>
        <w:pStyle w:val="a3"/>
        <w:spacing w:before="0" w:beforeAutospacing="0" w:after="0" w:afterAutospacing="0"/>
        <w:jc w:val="both"/>
        <w:divId w:val="1081558984"/>
        <w:rPr>
          <w:sz w:val="20"/>
          <w:szCs w:val="20"/>
        </w:rPr>
      </w:pPr>
      <w:r>
        <w:rPr>
          <w:sz w:val="20"/>
          <w:szCs w:val="20"/>
        </w:rPr>
        <w:t>Conference ID:</w:t>
      </w:r>
      <w:r>
        <w:rPr>
          <w:sz w:val="20"/>
          <w:szCs w:val="20"/>
        </w:rPr>
        <w:tab/>
      </w:r>
      <w:r>
        <w:rPr>
          <w:sz w:val="20"/>
          <w:szCs w:val="20"/>
        </w:rPr>
        <w:tab/>
        <w:t>#5746789</w:t>
      </w:r>
    </w:p>
    <w:p w:rsidR="00390C09" w:rsidRPr="00BC481B" w:rsidRDefault="00390C09"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A live and archived webcast of the conference call will also be available at the Company's investor relations website at http://ir.risecenter.com/.</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Exchange Rate</w:t>
      </w:r>
    </w:p>
    <w:p w:rsidR="008116AE" w:rsidRPr="00BC481B" w:rsidRDefault="008116AE" w:rsidP="00866CA8">
      <w:pPr>
        <w:pStyle w:val="a3"/>
        <w:spacing w:before="0" w:beforeAutospacing="0" w:after="0" w:afterAutospacing="0"/>
        <w:jc w:val="both"/>
        <w:divId w:val="1081558984"/>
        <w:rPr>
          <w:sz w:val="20"/>
          <w:szCs w:val="20"/>
        </w:rPr>
      </w:pPr>
    </w:p>
    <w:p w:rsidR="008A2CFE" w:rsidRPr="00BC481B" w:rsidRDefault="00592C21" w:rsidP="00866CA8">
      <w:pPr>
        <w:pStyle w:val="a3"/>
        <w:spacing w:before="0" w:beforeAutospacing="0" w:after="0" w:afterAutospacing="0"/>
        <w:jc w:val="both"/>
        <w:divId w:val="1081558984"/>
        <w:rPr>
          <w:sz w:val="20"/>
          <w:szCs w:val="20"/>
        </w:rPr>
      </w:pPr>
      <w:r>
        <w:rPr>
          <w:sz w:val="20"/>
          <w:szCs w:val="20"/>
        </w:rPr>
        <w:t xml:space="preserve">This announcement contains translations of certain RMB amounts into U.S. dollars (“USD”) at specified rates solely for the convenience of the reader. Unless otherwise stated, all translations from RMB to USD were made at the rate of RMB </w:t>
      </w:r>
      <w:r>
        <w:rPr>
          <w:sz w:val="20"/>
          <w:szCs w:val="20"/>
          <w:lang w:eastAsia="zh-CN"/>
        </w:rPr>
        <w:t>6.5063</w:t>
      </w:r>
      <w:r>
        <w:rPr>
          <w:sz w:val="20"/>
          <w:szCs w:val="20"/>
        </w:rPr>
        <w:t xml:space="preserve"> to US$1.00, the noon buying rate in effect on December 31, 2017 in the H.10 statistical release of the Federal Reserve Board. The Company makes no representation that the RMB or USD amounts referred could be converted into USD or RMB, as the case may be, at any particular rate or at all. For analytical presentation, all percentages are calculated using the numbers presented in the financial statements contained in this earnings release.</w:t>
      </w:r>
    </w:p>
    <w:p w:rsidR="008A2CFE" w:rsidRPr="00BC481B" w:rsidRDefault="008A2CFE" w:rsidP="00866CA8">
      <w:pPr>
        <w:pStyle w:val="a3"/>
        <w:spacing w:before="0" w:beforeAutospacing="0" w:after="0" w:afterAutospacing="0"/>
        <w:jc w:val="both"/>
        <w:divId w:val="1081558984"/>
        <w:rPr>
          <w:sz w:val="20"/>
          <w:szCs w:val="20"/>
        </w:rPr>
      </w:pPr>
    </w:p>
    <w:p w:rsidR="008A2CFE" w:rsidRPr="00BC481B" w:rsidRDefault="00592C21" w:rsidP="00866CA8">
      <w:pPr>
        <w:pStyle w:val="a3"/>
        <w:spacing w:before="0" w:beforeAutospacing="0" w:after="0" w:afterAutospacing="0"/>
        <w:jc w:val="both"/>
        <w:divId w:val="1081558984"/>
        <w:rPr>
          <w:b/>
          <w:bCs/>
          <w:sz w:val="20"/>
          <w:szCs w:val="20"/>
        </w:rPr>
      </w:pPr>
      <w:r>
        <w:rPr>
          <w:b/>
          <w:bCs/>
          <w:sz w:val="20"/>
          <w:szCs w:val="20"/>
        </w:rPr>
        <w:t>About Non-GAAP Financial Measures</w:t>
      </w:r>
    </w:p>
    <w:p w:rsidR="008A2CFE" w:rsidRPr="00BC481B" w:rsidRDefault="008A2CFE"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To supplement RISE’s financial results presented in accordance with U.S. GAAP, the Company uses non-GAAP financial measures, which are adjusted from results based on U.S. GAAP. Reconciliations of non-GAAP financial measures to U.S. GAAP financial measures are set forth in table at the end of this earnings release titled “Reconciliation of GAAP and Non-GAAP Results,” which provides more details on the non-GAAP financial measures.</w:t>
      </w:r>
    </w:p>
    <w:p w:rsidR="00FB2F06" w:rsidRDefault="00FB2F06" w:rsidP="00866CA8">
      <w:pPr>
        <w:pStyle w:val="a3"/>
        <w:spacing w:before="0" w:beforeAutospacing="0" w:after="0" w:afterAutospacing="0"/>
        <w:jc w:val="both"/>
        <w:divId w:val="1081558984"/>
        <w:rPr>
          <w:sz w:val="20"/>
          <w:szCs w:val="20"/>
          <w:lang w:eastAsia="zh-CN"/>
        </w:rPr>
      </w:pPr>
    </w:p>
    <w:p w:rsidR="005951E6" w:rsidRDefault="005951E6" w:rsidP="00866CA8">
      <w:pPr>
        <w:pStyle w:val="a3"/>
        <w:spacing w:before="0" w:beforeAutospacing="0" w:after="0" w:afterAutospacing="0"/>
        <w:jc w:val="both"/>
        <w:divId w:val="1081558984"/>
        <w:rPr>
          <w:sz w:val="20"/>
          <w:szCs w:val="20"/>
          <w:lang w:eastAsia="zh-CN"/>
        </w:rPr>
      </w:pPr>
      <w:r w:rsidRPr="005951E6">
        <w:rPr>
          <w:sz w:val="20"/>
          <w:szCs w:val="20"/>
          <w:lang w:eastAsia="zh-CN"/>
        </w:rPr>
        <w:t>Non-GAAP operating expenses, including non-GAAP selling and marketing expenses and non-GAAP general and administrative expenses, provides us with an understanding of the results from the primary operations of our business by excluding the effects of certain transaction-related expenses that do not reflect the ordinary operating expenses of our operations</w:t>
      </w:r>
      <w:r w:rsidR="000E7C18">
        <w:rPr>
          <w:rFonts w:hint="eastAsia"/>
          <w:sz w:val="20"/>
          <w:szCs w:val="20"/>
          <w:lang w:eastAsia="zh-CN"/>
        </w:rPr>
        <w:t xml:space="preserve"> and share</w:t>
      </w:r>
      <w:r w:rsidR="009B3E82">
        <w:rPr>
          <w:rFonts w:hint="eastAsia"/>
          <w:sz w:val="20"/>
          <w:szCs w:val="20"/>
          <w:lang w:eastAsia="zh-CN"/>
        </w:rPr>
        <w:t>-</w:t>
      </w:r>
      <w:r w:rsidR="000E7C18">
        <w:rPr>
          <w:rFonts w:hint="eastAsia"/>
          <w:sz w:val="20"/>
          <w:szCs w:val="20"/>
          <w:lang w:eastAsia="zh-CN"/>
        </w:rPr>
        <w:t>based compensation</w:t>
      </w:r>
      <w:r w:rsidRPr="005951E6">
        <w:rPr>
          <w:sz w:val="20"/>
          <w:szCs w:val="20"/>
          <w:lang w:eastAsia="zh-CN"/>
        </w:rPr>
        <w:t>. These expenses include (i) expenses relating to our IPO, which are expenses that</w:t>
      </w:r>
      <w:r w:rsidR="00D363CE">
        <w:rPr>
          <w:rFonts w:hint="eastAsia"/>
          <w:sz w:val="20"/>
          <w:szCs w:val="20"/>
          <w:lang w:eastAsia="zh-CN"/>
        </w:rPr>
        <w:t xml:space="preserve"> </w:t>
      </w:r>
      <w:r w:rsidRPr="005951E6">
        <w:rPr>
          <w:sz w:val="20"/>
          <w:szCs w:val="20"/>
          <w:lang w:eastAsia="zh-CN"/>
        </w:rPr>
        <w:t>we paid on behalf of our largest shareholder for selling a portion of its shares during the IPO and which we cannot capitalize; (ii) one-off expenses for terminating the consulting agreement between us and an affiliate of our largest shareholder as a result of the IPO</w:t>
      </w:r>
      <w:r w:rsidR="00506D17">
        <w:rPr>
          <w:rFonts w:hint="eastAsia"/>
          <w:sz w:val="20"/>
          <w:szCs w:val="20"/>
          <w:lang w:eastAsia="zh-CN"/>
        </w:rPr>
        <w:t xml:space="preserve"> and for other non-recurring professional expenses</w:t>
      </w:r>
      <w:r w:rsidRPr="005951E6">
        <w:rPr>
          <w:sz w:val="20"/>
          <w:szCs w:val="20"/>
          <w:lang w:eastAsia="zh-CN"/>
        </w:rPr>
        <w:t>; and (iii) share-based compensation, including all share-based</w:t>
      </w:r>
      <w:r w:rsidR="004B47A0">
        <w:rPr>
          <w:rFonts w:hint="eastAsia"/>
          <w:sz w:val="20"/>
          <w:szCs w:val="20"/>
          <w:lang w:eastAsia="zh-CN"/>
        </w:rPr>
        <w:t xml:space="preserve"> </w:t>
      </w:r>
      <w:r w:rsidRPr="005951E6">
        <w:rPr>
          <w:sz w:val="20"/>
          <w:szCs w:val="20"/>
          <w:lang w:eastAsia="zh-CN"/>
        </w:rPr>
        <w:t xml:space="preserve">compensation that </w:t>
      </w:r>
      <w:r w:rsidR="00C61333" w:rsidRPr="000C3C29">
        <w:rPr>
          <w:sz w:val="20"/>
          <w:szCs w:val="20"/>
          <w:lang w:eastAsia="zh-CN"/>
        </w:rPr>
        <w:t>vested during the fourth quarter as a result of the IPO</w:t>
      </w:r>
      <w:r w:rsidRPr="000C3C29">
        <w:rPr>
          <w:sz w:val="20"/>
          <w:szCs w:val="20"/>
          <w:lang w:eastAsia="zh-CN"/>
        </w:rPr>
        <w:t>.</w:t>
      </w:r>
    </w:p>
    <w:p w:rsidR="005951E6" w:rsidRPr="00BC481B" w:rsidRDefault="005951E6" w:rsidP="00866CA8">
      <w:pPr>
        <w:pStyle w:val="a3"/>
        <w:spacing w:before="0" w:beforeAutospacing="0" w:after="0" w:afterAutospacing="0"/>
        <w:jc w:val="both"/>
        <w:divId w:val="1081558984"/>
        <w:rPr>
          <w:sz w:val="20"/>
          <w:szCs w:val="20"/>
          <w:lang w:eastAsia="zh-CN"/>
        </w:rPr>
      </w:pPr>
    </w:p>
    <w:p w:rsidR="004B47A0" w:rsidRDefault="00592C21" w:rsidP="00866CA8">
      <w:pPr>
        <w:pStyle w:val="a3"/>
        <w:spacing w:before="0" w:beforeAutospacing="0" w:after="0" w:afterAutospacing="0"/>
        <w:jc w:val="both"/>
        <w:divId w:val="1081558984"/>
        <w:rPr>
          <w:sz w:val="20"/>
          <w:szCs w:val="20"/>
          <w:lang w:eastAsia="zh-CN"/>
        </w:rPr>
      </w:pPr>
      <w:r>
        <w:rPr>
          <w:sz w:val="20"/>
          <w:szCs w:val="20"/>
        </w:rPr>
        <w:t xml:space="preserve">Adjusted EBITDA and </w:t>
      </w:r>
      <w:r w:rsidR="00F203F6">
        <w:rPr>
          <w:rFonts w:hint="eastAsia"/>
          <w:sz w:val="20"/>
          <w:szCs w:val="20"/>
          <w:lang w:eastAsia="zh-CN"/>
        </w:rPr>
        <w:t xml:space="preserve">non-GAAP </w:t>
      </w:r>
      <w:r>
        <w:rPr>
          <w:sz w:val="20"/>
          <w:szCs w:val="20"/>
        </w:rPr>
        <w:t>net income provide us with an understanding of the results from the primary operations of our business by excluding the effects of certain transaction</w:t>
      </w:r>
      <w:r w:rsidR="004B47A0">
        <w:rPr>
          <w:rFonts w:hint="eastAsia"/>
          <w:sz w:val="20"/>
          <w:szCs w:val="20"/>
          <w:lang w:eastAsia="zh-CN"/>
        </w:rPr>
        <w:t>-</w:t>
      </w:r>
      <w:r>
        <w:rPr>
          <w:sz w:val="20"/>
          <w:szCs w:val="20"/>
        </w:rPr>
        <w:t xml:space="preserve">related expenses that do not reflect the ordinary EBITDA and net income of our operations. </w:t>
      </w:r>
    </w:p>
    <w:p w:rsidR="004B47A0" w:rsidRDefault="004B47A0" w:rsidP="00866CA8">
      <w:pPr>
        <w:pStyle w:val="a3"/>
        <w:spacing w:before="0" w:beforeAutospacing="0" w:after="0" w:afterAutospacing="0"/>
        <w:jc w:val="both"/>
        <w:divId w:val="1081558984"/>
        <w:rPr>
          <w:sz w:val="20"/>
          <w:szCs w:val="20"/>
          <w:lang w:eastAsia="zh-CN"/>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We use </w:t>
      </w:r>
      <w:r w:rsidR="004B47A0">
        <w:rPr>
          <w:sz w:val="20"/>
          <w:szCs w:val="20"/>
        </w:rPr>
        <w:t>non-GAAP operating expenses, including non-GAAP selling and marketing expenses and non-GAAP general and administrative expenses,</w:t>
      </w:r>
      <w:r w:rsidR="004B47A0">
        <w:rPr>
          <w:rFonts w:hint="eastAsia"/>
          <w:sz w:val="20"/>
          <w:szCs w:val="20"/>
          <w:lang w:eastAsia="zh-CN"/>
        </w:rPr>
        <w:t xml:space="preserve"> </w:t>
      </w:r>
      <w:r>
        <w:rPr>
          <w:sz w:val="20"/>
          <w:szCs w:val="20"/>
        </w:rPr>
        <w:t xml:space="preserve">adjusted EBITDA and </w:t>
      </w:r>
      <w:r w:rsidR="00145349">
        <w:rPr>
          <w:sz w:val="20"/>
          <w:szCs w:val="20"/>
        </w:rPr>
        <w:t>non-GAAP</w:t>
      </w:r>
      <w:r>
        <w:rPr>
          <w:sz w:val="20"/>
          <w:szCs w:val="20"/>
        </w:rPr>
        <w:t xml:space="preserve"> net income to evaluate our period-over-period operating performance because our management believes th</w:t>
      </w:r>
      <w:r w:rsidR="004B47A0">
        <w:rPr>
          <w:rFonts w:hint="eastAsia"/>
          <w:sz w:val="20"/>
          <w:szCs w:val="20"/>
          <w:lang w:eastAsia="zh-CN"/>
        </w:rPr>
        <w:t>e</w:t>
      </w:r>
      <w:r>
        <w:rPr>
          <w:sz w:val="20"/>
          <w:szCs w:val="20"/>
        </w:rPr>
        <w:t>s</w:t>
      </w:r>
      <w:r w:rsidR="004B47A0">
        <w:rPr>
          <w:rFonts w:hint="eastAsia"/>
          <w:sz w:val="20"/>
          <w:szCs w:val="20"/>
          <w:lang w:eastAsia="zh-CN"/>
        </w:rPr>
        <w:t>e</w:t>
      </w:r>
      <w:r>
        <w:rPr>
          <w:sz w:val="20"/>
          <w:szCs w:val="20"/>
        </w:rPr>
        <w:t xml:space="preserve"> provide a more comparable measure of our continuing business as it adjusts for transaction</w:t>
      </w:r>
      <w:r w:rsidR="00F203F6">
        <w:rPr>
          <w:rFonts w:hint="eastAsia"/>
          <w:sz w:val="20"/>
          <w:szCs w:val="20"/>
          <w:lang w:eastAsia="zh-CN"/>
        </w:rPr>
        <w:t>-</w:t>
      </w:r>
      <w:r>
        <w:rPr>
          <w:sz w:val="20"/>
          <w:szCs w:val="20"/>
        </w:rPr>
        <w:t>related expenses that are not reflective of the normal earnings of our business. These measures may be useful to an investor in evaluating the underlying operating performance of our business, and to enhance investors’ overall understanding of the historical and current financial performance of the Company’s continuing operations and prospects for the future.</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Non-GAAP financial information should not be considered a substitute for or superior to U.S. GAAP results. In addition, calculations of this non-GAAP financial information may be different from calculations used by other companies, and therefore comparability may be limited.</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About RISE Education</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RISE Education Cayman Ltd is a leading junior English Language Training (“ELT”) provider based in Beijing. Founded in 2007, the Company pioneered the application of the “subject-based learning” philosophy in China, which uses language arts, math, natural science, and social science to teach English in an immersive environment that helps students learn to speak and think like a native speaker. Through three flagship courses, Rise Start, Rise On, and Rise Up, the Company provides ELT to students aged three to six, seven to twelve and 13 to 18, respectively. The Company’s highly scalable business model includes both self-owned and franchised learning centers. For more information, please visit http://en.risecenter.com/.</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Safe Harbor Statement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This press release contains statements of a forward-looking nature. These statements, including the statements relating to the Company’s future financial and operating results, are made under the “safe harbor” provisions of the U.S. Private Securities Litigation Reform Act of 1995. You can identify these forward-looking statements by terminology such as “will,” “expects,” “believes,” “anticipates,” “intends,” “estimates” and similar statements. Among other things, management’s quotations and the Business Outlook section contain forward-looking statements. These forward-looking statements involve known and unknown risks and uncertainties and are based on current expectations, assumptions, estimates and projections about RISE and the industry. Potential risks and uncertainties include, but are not limited to, those relating to its ability to attract new students and retain existing students, its ability to maintain or enhance its brand, its ability to compete effectively against its competitors, its ability to execute its growth strategy, its ability to introduce new products or enhance existing products, its ability to obtain required licenses, permits, filings or registrations, its ability to grow or operate or effectively monitor its franchise business, quarterly variations in its operating results caused by factors beyond its control and macroeconomic conditions in China and their potential impact on the sales of insurance products. All information provided in this press release is as of the date hereof, and RISE undertakes no obligation to update any forward-looking statements to reflect subsequent occurring events or circumstances, or changes in its expectations, except as may be required by law. Although RISE believes that the expectations expressed in these forward-looking statements are reasonable, it cannot assure you that its expectations will turn out to be correct, and investors are cautioned that actual results may differ materially from the anticipated results. Further information regarding risks and uncertainties faced by RISE is included in RISE’s filings with the U.S. Securities and Exchange Commission, including its registration statement on Form F-1 filed in connection with its initial public offering.</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b/>
          <w:bCs/>
          <w:sz w:val="20"/>
          <w:szCs w:val="20"/>
        </w:rPr>
        <w:t>Investor Relations Contact</w:t>
      </w:r>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lang w:eastAsia="zh-CN"/>
        </w:rPr>
      </w:pPr>
      <w:r>
        <w:rPr>
          <w:sz w:val="20"/>
          <w:szCs w:val="20"/>
        </w:rPr>
        <w:t>RISE Education</w:t>
      </w:r>
      <w:r>
        <w:rPr>
          <w:sz w:val="20"/>
          <w:szCs w:val="20"/>
          <w:lang w:eastAsia="zh-CN"/>
        </w:rPr>
        <w:t xml:space="preserve"> </w:t>
      </w:r>
    </w:p>
    <w:p w:rsidR="00FB2F06" w:rsidRPr="00BC481B" w:rsidRDefault="00592C21" w:rsidP="00866CA8">
      <w:pPr>
        <w:pStyle w:val="a3"/>
        <w:spacing w:before="0" w:beforeAutospacing="0" w:after="0" w:afterAutospacing="0"/>
        <w:jc w:val="both"/>
        <w:divId w:val="1081558984"/>
        <w:rPr>
          <w:sz w:val="20"/>
          <w:szCs w:val="20"/>
        </w:rPr>
      </w:pPr>
      <w:r>
        <w:rPr>
          <w:sz w:val="20"/>
          <w:szCs w:val="20"/>
        </w:rPr>
        <w:t xml:space="preserve">Email: </w:t>
      </w:r>
      <w:hyperlink r:id="rId9" w:history="1">
        <w:r w:rsidR="001736D6" w:rsidRPr="00BC481B">
          <w:rPr>
            <w:rStyle w:val="a7"/>
            <w:color w:val="auto"/>
            <w:sz w:val="20"/>
            <w:szCs w:val="20"/>
          </w:rPr>
          <w:t>riseir@rdchina.net</w:t>
        </w:r>
      </w:hyperlink>
    </w:p>
    <w:p w:rsidR="00FB2F06" w:rsidRPr="00BC481B" w:rsidRDefault="00FB2F06" w:rsidP="00866CA8">
      <w:pPr>
        <w:pStyle w:val="a3"/>
        <w:spacing w:before="0" w:beforeAutospacing="0" w:after="0" w:afterAutospacing="0"/>
        <w:jc w:val="both"/>
        <w:divId w:val="1081558984"/>
        <w:rPr>
          <w:sz w:val="20"/>
          <w:szCs w:val="20"/>
        </w:rPr>
      </w:pPr>
    </w:p>
    <w:p w:rsidR="00FB2F06" w:rsidRPr="00BC481B" w:rsidRDefault="00592C21" w:rsidP="00866CA8">
      <w:pPr>
        <w:pStyle w:val="a3"/>
        <w:spacing w:before="0" w:beforeAutospacing="0" w:after="0" w:afterAutospacing="0"/>
        <w:jc w:val="both"/>
        <w:divId w:val="1081558984"/>
        <w:rPr>
          <w:sz w:val="20"/>
          <w:szCs w:val="20"/>
        </w:rPr>
      </w:pPr>
      <w:r>
        <w:rPr>
          <w:sz w:val="20"/>
          <w:szCs w:val="20"/>
        </w:rPr>
        <w:t>ICR, Inc.</w:t>
      </w:r>
    </w:p>
    <w:p w:rsidR="00FB2F06" w:rsidRPr="00BC481B" w:rsidRDefault="00592C21" w:rsidP="00866CA8">
      <w:pPr>
        <w:pStyle w:val="a3"/>
        <w:spacing w:before="0" w:beforeAutospacing="0" w:after="0" w:afterAutospacing="0"/>
        <w:jc w:val="both"/>
        <w:divId w:val="1081558984"/>
        <w:rPr>
          <w:sz w:val="20"/>
          <w:szCs w:val="20"/>
        </w:rPr>
      </w:pPr>
      <w:r>
        <w:rPr>
          <w:sz w:val="20"/>
          <w:szCs w:val="20"/>
        </w:rPr>
        <w:t>Jack Wang</w:t>
      </w:r>
    </w:p>
    <w:p w:rsidR="00FB2F06" w:rsidRPr="00BC481B" w:rsidRDefault="00592C21" w:rsidP="00866CA8">
      <w:pPr>
        <w:pStyle w:val="a3"/>
        <w:spacing w:before="0" w:beforeAutospacing="0" w:after="0" w:afterAutospacing="0"/>
        <w:jc w:val="both"/>
        <w:divId w:val="1081558984"/>
        <w:rPr>
          <w:sz w:val="20"/>
          <w:szCs w:val="20"/>
        </w:rPr>
      </w:pPr>
      <w:r>
        <w:rPr>
          <w:sz w:val="20"/>
          <w:szCs w:val="20"/>
        </w:rPr>
        <w:t>Tel: (+1) 347-436-8371</w:t>
      </w:r>
    </w:p>
    <w:p w:rsidR="00FB2F06" w:rsidRPr="00BC481B" w:rsidRDefault="00592C21" w:rsidP="00866CA8">
      <w:pPr>
        <w:pStyle w:val="a3"/>
        <w:spacing w:before="0" w:beforeAutospacing="0" w:after="0" w:afterAutospacing="0"/>
        <w:jc w:val="both"/>
        <w:divId w:val="1081558984"/>
        <w:rPr>
          <w:lang w:eastAsia="zh-CN"/>
        </w:rPr>
      </w:pPr>
      <w:r>
        <w:rPr>
          <w:sz w:val="20"/>
          <w:szCs w:val="20"/>
        </w:rPr>
        <w:t xml:space="preserve">Email: </w:t>
      </w:r>
      <w:hyperlink r:id="rId10" w:history="1">
        <w:r w:rsidR="001736D6" w:rsidRPr="00BC481B">
          <w:rPr>
            <w:rStyle w:val="a7"/>
            <w:color w:val="auto"/>
            <w:sz w:val="20"/>
            <w:szCs w:val="20"/>
          </w:rPr>
          <w:t>riseir@rd</w:t>
        </w:r>
        <w:r>
          <w:rPr>
            <w:rStyle w:val="a7"/>
            <w:color w:val="auto"/>
            <w:sz w:val="20"/>
            <w:szCs w:val="20"/>
          </w:rPr>
          <w:t>china.net</w:t>
        </w:r>
      </w:hyperlink>
    </w:p>
    <w:p w:rsidR="00BD059B" w:rsidRDefault="00BD059B" w:rsidP="00BD059B">
      <w:pPr>
        <w:pStyle w:val="a3"/>
        <w:spacing w:before="0" w:beforeAutospacing="0" w:after="0" w:afterAutospacing="0"/>
        <w:jc w:val="both"/>
        <w:divId w:val="1081558984"/>
        <w:rPr>
          <w:lang w:eastAsia="zh-CN"/>
        </w:rPr>
      </w:pPr>
    </w:p>
    <w:p w:rsidR="00353CD2" w:rsidRDefault="00353CD2" w:rsidP="00BD059B">
      <w:pPr>
        <w:pStyle w:val="a3"/>
        <w:spacing w:before="0" w:beforeAutospacing="0" w:after="0" w:afterAutospacing="0"/>
        <w:jc w:val="both"/>
        <w:divId w:val="1081558984"/>
        <w:rPr>
          <w:lang w:eastAsia="zh-CN"/>
        </w:rPr>
      </w:pPr>
    </w:p>
    <w:tbl>
      <w:tblPr>
        <w:tblW w:w="10020" w:type="dxa"/>
        <w:jc w:val="center"/>
        <w:tblInd w:w="96" w:type="dxa"/>
        <w:tblLook w:val="04A0"/>
      </w:tblPr>
      <w:tblGrid>
        <w:gridCol w:w="5849"/>
        <w:gridCol w:w="1221"/>
        <w:gridCol w:w="255"/>
        <w:gridCol w:w="1221"/>
        <w:gridCol w:w="255"/>
        <w:gridCol w:w="1221"/>
      </w:tblGrid>
      <w:tr w:rsidR="00BD059B" w:rsidRPr="00FB031B" w:rsidTr="00BD059B">
        <w:trPr>
          <w:divId w:val="1081558984"/>
          <w:trHeight w:val="300"/>
          <w:jc w:val="center"/>
        </w:trPr>
        <w:tc>
          <w:tcPr>
            <w:tcW w:w="10020" w:type="dxa"/>
            <w:gridSpan w:val="6"/>
            <w:tcBorders>
              <w:top w:val="nil"/>
              <w:left w:val="nil"/>
              <w:bottom w:val="nil"/>
              <w:right w:val="nil"/>
            </w:tcBorders>
            <w:shd w:val="clear" w:color="auto" w:fill="auto"/>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RISE EDUCATION CAYMAN LTD</w:t>
            </w:r>
          </w:p>
        </w:tc>
      </w:tr>
      <w:tr w:rsidR="00BD059B" w:rsidRPr="00FB031B" w:rsidTr="00BD059B">
        <w:trPr>
          <w:divId w:val="1081558984"/>
          <w:trHeight w:val="300"/>
          <w:jc w:val="center"/>
        </w:trPr>
        <w:tc>
          <w:tcPr>
            <w:tcW w:w="10020" w:type="dxa"/>
            <w:gridSpan w:val="6"/>
            <w:tcBorders>
              <w:top w:val="nil"/>
              <w:left w:val="nil"/>
              <w:bottom w:val="nil"/>
              <w:right w:val="nil"/>
            </w:tcBorders>
            <w:shd w:val="clear" w:color="auto" w:fill="auto"/>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UNAUDITED CONDENSED CONSOLIDATED BALANCE SHEETS</w:t>
            </w:r>
          </w:p>
        </w:tc>
      </w:tr>
      <w:tr w:rsidR="00BD059B" w:rsidRPr="00FB031B" w:rsidTr="00BD059B">
        <w:trPr>
          <w:divId w:val="1081558984"/>
          <w:trHeight w:val="300"/>
          <w:jc w:val="center"/>
        </w:trPr>
        <w:tc>
          <w:tcPr>
            <w:tcW w:w="10020" w:type="dxa"/>
            <w:gridSpan w:val="6"/>
            <w:tcBorders>
              <w:top w:val="nil"/>
              <w:left w:val="nil"/>
              <w:bottom w:val="nil"/>
              <w:right w:val="nil"/>
            </w:tcBorders>
            <w:shd w:val="clear" w:color="auto" w:fill="auto"/>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(in thousands, except share data and per share data)</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4140" w:type="dxa"/>
            <w:gridSpan w:val="5"/>
            <w:tcBorders>
              <w:top w:val="nil"/>
              <w:left w:val="nil"/>
              <w:bottom w:val="single" w:sz="8" w:space="0" w:color="000000"/>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As of</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December 31</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December 31</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December 31</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2016</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USD</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ASSETS</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Current assets:</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Cash and cash equivalents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639,999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1,055,982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162,301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Restricted cash</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16,689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28,913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4,444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Accounts receivable, net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2,470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380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lastRenderedPageBreak/>
              <w:t>Amounts due from a related party</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6,604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1,015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Inventories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5,533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7,905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1,215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Prepaid expenses and other current assets</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45,517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40,571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6,236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current assets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707,738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1,142,445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175,591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Property and equipment, net</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75,673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100,177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15,397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Intangible assets, net</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225,951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200,615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30,834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Goodwill</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461,686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475,732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73,119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Deferred tax assets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4,087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2,404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369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Other non-current assets</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25,163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34,965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5,374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assets</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1,500,298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1,956,338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300,684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LIABILITIES AND SHAREHOLDERS’EQUITY</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Current liabilities:</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Current portion of long-term loan</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38,186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Accounts payable</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4,068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6,041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928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Accrued expenses and other current liabilities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96,158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191,099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29,372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Deferred revenue and customer advances</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601,324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812,821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124,928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Income taxes payable</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23,630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20,739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3,188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current liabilities</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763,366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1,030,700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158,416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color w:val="000000"/>
                <w:sz w:val="18"/>
                <w:szCs w:val="18"/>
                <w:lang w:eastAsia="zh-CN"/>
              </w:rPr>
            </w:pPr>
            <w:r w:rsidRPr="00FB031B">
              <w:rPr>
                <w:rFonts w:eastAsia="宋体"/>
                <w:color w:val="000000"/>
                <w:sz w:val="18"/>
                <w:szCs w:val="18"/>
                <w:lang w:eastAsia="zh-CN"/>
              </w:rPr>
              <w:t>Long-term loan</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333,102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623,439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95,821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jc w:val="both"/>
              <w:rPr>
                <w:rFonts w:eastAsia="宋体"/>
                <w:color w:val="000000"/>
                <w:sz w:val="18"/>
                <w:szCs w:val="18"/>
                <w:lang w:eastAsia="zh-CN"/>
              </w:rPr>
            </w:pPr>
            <w:r w:rsidRPr="00FB031B">
              <w:rPr>
                <w:rFonts w:eastAsia="宋体"/>
                <w:color w:val="000000"/>
                <w:sz w:val="18"/>
                <w:szCs w:val="18"/>
                <w:lang w:eastAsia="zh-CN"/>
              </w:rPr>
              <w:t>Deferred tax liabilities</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3,070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3,785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582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color w:val="000000"/>
                <w:sz w:val="18"/>
                <w:szCs w:val="18"/>
                <w:lang w:eastAsia="zh-CN"/>
              </w:rPr>
            </w:pPr>
            <w:r w:rsidRPr="00FB031B">
              <w:rPr>
                <w:rFonts w:eastAsia="宋体"/>
                <w:color w:val="000000"/>
                <w:sz w:val="18"/>
                <w:szCs w:val="18"/>
                <w:lang w:eastAsia="zh-CN"/>
              </w:rPr>
              <w:t>Other non-current liabilities</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2,333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2,682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412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liabilities</w:t>
            </w:r>
          </w:p>
        </w:tc>
        <w:tc>
          <w:tcPr>
            <w:tcW w:w="120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1,101,871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1,660,606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255,231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Shareholders’ equity:</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Ordinary shares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6,120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6,782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1,042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Additional paid-in capital</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452,369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532,474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81,840 </w:t>
            </w:r>
          </w:p>
        </w:tc>
      </w:tr>
      <w:tr w:rsidR="00BD059B" w:rsidRPr="00FB031B" w:rsidTr="00BD059B">
        <w:trPr>
          <w:divId w:val="1081558984"/>
          <w:trHeight w:val="300"/>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Statutory reserves</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32,511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46,366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7,126 </w:t>
            </w:r>
          </w:p>
        </w:tc>
      </w:tr>
      <w:tr w:rsidR="00BD059B" w:rsidRPr="00FB031B" w:rsidTr="00BD059B">
        <w:trPr>
          <w:divId w:val="1081558984"/>
          <w:trHeight w:val="300"/>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Accumulated deficit</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(134,264)</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(315,531)</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(48,496)</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Accumulated other comprehensive income</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50,464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40,040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6,154 </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Rise Education Cayman Ltd shareholders’ equity</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407,200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310,131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47,666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color w:val="000000"/>
                <w:sz w:val="18"/>
                <w:szCs w:val="18"/>
                <w:lang w:eastAsia="zh-CN"/>
              </w:rPr>
            </w:pPr>
            <w:r w:rsidRPr="00FB031B">
              <w:rPr>
                <w:rFonts w:eastAsia="宋体"/>
                <w:color w:val="000000"/>
                <w:sz w:val="18"/>
                <w:szCs w:val="18"/>
                <w:lang w:eastAsia="zh-CN"/>
              </w:rPr>
              <w:t>Non-controlling interests</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(8,773)</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(14,399)</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auto"/>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(2,213)</w:t>
            </w:r>
          </w:p>
        </w:tc>
      </w:tr>
      <w:tr w:rsidR="00BD059B" w:rsidRPr="00FB031B" w:rsidTr="00BD059B">
        <w:trPr>
          <w:divId w:val="1081558984"/>
          <w:trHeight w:val="315"/>
          <w:jc w:val="center"/>
        </w:trPr>
        <w:tc>
          <w:tcPr>
            <w:tcW w:w="5880" w:type="dxa"/>
            <w:tcBorders>
              <w:top w:val="nil"/>
              <w:left w:val="nil"/>
              <w:bottom w:val="nil"/>
              <w:right w:val="nil"/>
            </w:tcBorders>
            <w:shd w:val="clear" w:color="auto" w:fill="auto"/>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equity</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398,427 </w:t>
            </w:r>
          </w:p>
        </w:tc>
        <w:tc>
          <w:tcPr>
            <w:tcW w:w="28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295,732 </w:t>
            </w:r>
          </w:p>
        </w:tc>
        <w:tc>
          <w:tcPr>
            <w:tcW w:w="26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45,453 </w:t>
            </w:r>
          </w:p>
        </w:tc>
      </w:tr>
      <w:tr w:rsidR="00BD059B" w:rsidRPr="00FB031B" w:rsidTr="00BD059B">
        <w:trPr>
          <w:divId w:val="1081558984"/>
          <w:trHeight w:val="315"/>
          <w:jc w:val="center"/>
        </w:trPr>
        <w:tc>
          <w:tcPr>
            <w:tcW w:w="5880" w:type="dxa"/>
            <w:tcBorders>
              <w:top w:val="nil"/>
              <w:left w:val="nil"/>
              <w:bottom w:val="nil"/>
              <w:right w:val="nil"/>
            </w:tcBorders>
            <w:shd w:val="clear" w:color="000000" w:fill="DBEEF3"/>
            <w:vAlign w:val="bottom"/>
            <w:hideMark/>
          </w:tcPr>
          <w:p w:rsidR="00BD059B" w:rsidRPr="00FB031B" w:rsidRDefault="00BD059B" w:rsidP="005005D3">
            <w:pPr>
              <w:jc w:val="both"/>
              <w:rPr>
                <w:rFonts w:eastAsia="宋体"/>
                <w:b/>
                <w:bCs/>
                <w:color w:val="000000"/>
                <w:sz w:val="18"/>
                <w:szCs w:val="18"/>
                <w:lang w:eastAsia="zh-CN"/>
              </w:rPr>
            </w:pPr>
            <w:r w:rsidRPr="00FB031B">
              <w:rPr>
                <w:rFonts w:eastAsia="宋体"/>
                <w:b/>
                <w:bCs/>
                <w:color w:val="000000"/>
                <w:sz w:val="18"/>
                <w:szCs w:val="18"/>
                <w:lang w:eastAsia="zh-CN"/>
              </w:rPr>
              <w:t>Total liabilities, non-controlling interests and shareholders’ equity</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1,500,298 </w:t>
            </w:r>
          </w:p>
        </w:tc>
        <w:tc>
          <w:tcPr>
            <w:tcW w:w="28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1,956,338 </w:t>
            </w:r>
          </w:p>
        </w:tc>
        <w:tc>
          <w:tcPr>
            <w:tcW w:w="26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00" w:type="dxa"/>
            <w:tcBorders>
              <w:top w:val="nil"/>
              <w:left w:val="nil"/>
              <w:bottom w:val="double" w:sz="6"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300,684 </w:t>
            </w:r>
          </w:p>
        </w:tc>
      </w:tr>
    </w:tbl>
    <w:p w:rsidR="00BD059B" w:rsidRDefault="00BD059B" w:rsidP="00BD059B">
      <w:pPr>
        <w:pStyle w:val="a3"/>
        <w:spacing w:before="0" w:beforeAutospacing="0" w:after="0" w:afterAutospacing="0"/>
        <w:jc w:val="both"/>
        <w:divId w:val="1081558984"/>
        <w:rPr>
          <w:lang w:eastAsia="zh-CN"/>
        </w:rPr>
      </w:pPr>
    </w:p>
    <w:p w:rsidR="00353CD2" w:rsidRDefault="00353CD2" w:rsidP="00BD059B">
      <w:pPr>
        <w:pStyle w:val="a3"/>
        <w:spacing w:before="0" w:beforeAutospacing="0" w:after="0" w:afterAutospacing="0"/>
        <w:jc w:val="both"/>
        <w:divId w:val="1081558984"/>
        <w:rPr>
          <w:lang w:eastAsia="zh-CN"/>
        </w:rPr>
      </w:pPr>
    </w:p>
    <w:tbl>
      <w:tblPr>
        <w:tblW w:w="10982" w:type="dxa"/>
        <w:jc w:val="center"/>
        <w:tblInd w:w="96" w:type="dxa"/>
        <w:tblLook w:val="04A0"/>
      </w:tblPr>
      <w:tblGrid>
        <w:gridCol w:w="1910"/>
        <w:gridCol w:w="222"/>
        <w:gridCol w:w="1120"/>
        <w:gridCol w:w="329"/>
        <w:gridCol w:w="1280"/>
        <w:gridCol w:w="329"/>
        <w:gridCol w:w="1260"/>
        <w:gridCol w:w="329"/>
        <w:gridCol w:w="1231"/>
        <w:gridCol w:w="329"/>
        <w:gridCol w:w="1120"/>
        <w:gridCol w:w="329"/>
        <w:gridCol w:w="1194"/>
      </w:tblGrid>
      <w:tr w:rsidR="00BD059B" w:rsidRPr="00FB031B" w:rsidTr="00BD059B">
        <w:trPr>
          <w:divId w:val="1081558984"/>
          <w:trHeight w:val="300"/>
          <w:jc w:val="center"/>
        </w:trPr>
        <w:tc>
          <w:tcPr>
            <w:tcW w:w="10982" w:type="dxa"/>
            <w:gridSpan w:val="13"/>
            <w:tcBorders>
              <w:top w:val="nil"/>
              <w:left w:val="nil"/>
              <w:bottom w:val="nil"/>
              <w:right w:val="nil"/>
            </w:tcBorders>
            <w:shd w:val="clear" w:color="000000" w:fill="FFFFFF"/>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RISE EDUCATION CAYMAN LTD</w:t>
            </w:r>
          </w:p>
        </w:tc>
      </w:tr>
      <w:tr w:rsidR="00BD059B" w:rsidRPr="00FB031B" w:rsidTr="00BD059B">
        <w:trPr>
          <w:divId w:val="1081558984"/>
          <w:trHeight w:val="300"/>
          <w:jc w:val="center"/>
        </w:trPr>
        <w:tc>
          <w:tcPr>
            <w:tcW w:w="10982" w:type="dxa"/>
            <w:gridSpan w:val="13"/>
            <w:tcBorders>
              <w:top w:val="nil"/>
              <w:left w:val="nil"/>
              <w:bottom w:val="nil"/>
              <w:right w:val="nil"/>
            </w:tcBorders>
            <w:shd w:val="clear" w:color="000000" w:fill="FFFFFF"/>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UNAUDITED CONDENSED CONSOLIDATED STATEMENTS OF COMPREHENSIVE INCOME</w:t>
            </w:r>
          </w:p>
        </w:tc>
      </w:tr>
      <w:tr w:rsidR="00BD059B" w:rsidRPr="00FB031B" w:rsidTr="00BD059B">
        <w:trPr>
          <w:divId w:val="1081558984"/>
          <w:trHeight w:val="300"/>
          <w:jc w:val="center"/>
        </w:trPr>
        <w:tc>
          <w:tcPr>
            <w:tcW w:w="10982" w:type="dxa"/>
            <w:gridSpan w:val="13"/>
            <w:tcBorders>
              <w:top w:val="nil"/>
              <w:left w:val="nil"/>
              <w:bottom w:val="nil"/>
              <w:right w:val="nil"/>
            </w:tcBorders>
            <w:shd w:val="clear" w:color="000000" w:fill="FFFFFF"/>
            <w:noWrap/>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(in thousands, except share data and per share data)</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FFFFFF"/>
            <w:vAlign w:val="bottom"/>
            <w:hideMark/>
          </w:tcPr>
          <w:p w:rsidR="00BD059B" w:rsidRPr="00FB031B" w:rsidRDefault="00BD059B" w:rsidP="005005D3">
            <w:pPr>
              <w:rPr>
                <w:rFonts w:eastAsia="宋体"/>
                <w:color w:val="000000"/>
                <w:sz w:val="20"/>
                <w:szCs w:val="20"/>
                <w:lang w:eastAsia="zh-CN"/>
              </w:rPr>
            </w:pPr>
            <w:r w:rsidRPr="00FB031B">
              <w:rPr>
                <w:rFonts w:eastAsia="宋体"/>
                <w:color w:val="000000"/>
                <w:sz w:val="20"/>
                <w:szCs w:val="20"/>
                <w:lang w:eastAsia="zh-CN"/>
              </w:rPr>
              <w:t xml:space="preserve">　</w:t>
            </w:r>
          </w:p>
        </w:tc>
        <w:tc>
          <w:tcPr>
            <w:tcW w:w="100"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120"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329"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280"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329"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260"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329"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231"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329"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120"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329"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c>
          <w:tcPr>
            <w:tcW w:w="1194" w:type="dxa"/>
            <w:tcBorders>
              <w:top w:val="nil"/>
              <w:left w:val="nil"/>
              <w:bottom w:val="nil"/>
              <w:right w:val="nil"/>
            </w:tcBorders>
            <w:shd w:val="clear" w:color="000000" w:fill="FFFFFF"/>
            <w:vAlign w:val="bottom"/>
            <w:hideMark/>
          </w:tcPr>
          <w:p w:rsidR="00BD059B" w:rsidRPr="00FB031B" w:rsidRDefault="00BD059B" w:rsidP="005005D3">
            <w:pPr>
              <w:jc w:val="center"/>
              <w:rPr>
                <w:rFonts w:eastAsia="宋体"/>
                <w:b/>
                <w:bCs/>
                <w:color w:val="000000"/>
                <w:sz w:val="20"/>
                <w:szCs w:val="20"/>
                <w:lang w:eastAsia="zh-CN"/>
              </w:rPr>
            </w:pPr>
            <w:r w:rsidRPr="00FB031B">
              <w:rPr>
                <w:rFonts w:eastAsia="宋体"/>
                <w:b/>
                <w:bCs/>
                <w:color w:val="000000"/>
                <w:sz w:val="20"/>
                <w:szCs w:val="20"/>
                <w:lang w:eastAsia="zh-CN"/>
              </w:rPr>
              <w:t xml:space="preserve">　</w:t>
            </w:r>
          </w:p>
        </w:tc>
      </w:tr>
      <w:tr w:rsidR="00BD059B" w:rsidRPr="00FB031B" w:rsidTr="00BD059B">
        <w:trPr>
          <w:divId w:val="1081558984"/>
          <w:trHeight w:val="28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4318" w:type="dxa"/>
            <w:gridSpan w:val="5"/>
            <w:tcBorders>
              <w:top w:val="nil"/>
              <w:left w:val="nil"/>
              <w:bottom w:val="single" w:sz="8" w:space="0" w:color="auto"/>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Three Months Ended December 31,</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4203" w:type="dxa"/>
            <w:gridSpan w:val="5"/>
            <w:tcBorders>
              <w:top w:val="nil"/>
              <w:left w:val="nil"/>
              <w:bottom w:val="single" w:sz="8" w:space="0" w:color="auto"/>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Twelve Months Ended December 31,</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2016</w:t>
            </w:r>
          </w:p>
        </w:tc>
        <w:tc>
          <w:tcPr>
            <w:tcW w:w="329"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2016</w:t>
            </w:r>
          </w:p>
        </w:tc>
        <w:tc>
          <w:tcPr>
            <w:tcW w:w="329"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single" w:sz="8" w:space="0" w:color="000000"/>
              <w:right w:val="nil"/>
            </w:tcBorders>
            <w:shd w:val="clear" w:color="auto" w:fill="auto"/>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2017</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USD</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center"/>
              <w:rPr>
                <w:rFonts w:eastAsia="宋体"/>
                <w:b/>
                <w:bCs/>
                <w:color w:val="000000"/>
                <w:sz w:val="18"/>
                <w:szCs w:val="18"/>
                <w:lang w:eastAsia="zh-CN"/>
              </w:rPr>
            </w:pPr>
            <w:r w:rsidRPr="00FB031B">
              <w:rPr>
                <w:rFonts w:eastAsia="宋体"/>
                <w:b/>
                <w:bCs/>
                <w:color w:val="000000"/>
                <w:sz w:val="18"/>
                <w:szCs w:val="18"/>
                <w:lang w:eastAsia="zh-CN"/>
              </w:rPr>
              <w:t>USD</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Revenues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193,251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272,157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41,830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710,993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969,275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148,975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ind w:firstLineChars="100" w:firstLine="180"/>
              <w:rPr>
                <w:rFonts w:eastAsia="宋体"/>
                <w:color w:val="000000"/>
                <w:sz w:val="18"/>
                <w:szCs w:val="18"/>
                <w:lang w:eastAsia="zh-CN"/>
              </w:rPr>
            </w:pPr>
            <w:r w:rsidRPr="00FB031B">
              <w:rPr>
                <w:rFonts w:eastAsia="宋体"/>
                <w:color w:val="000000"/>
                <w:sz w:val="18"/>
                <w:szCs w:val="18"/>
                <w:lang w:eastAsia="zh-CN"/>
              </w:rPr>
              <w:t>Educational programs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183,036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249,747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38,385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618,326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831,106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127,739 </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ind w:firstLineChars="100" w:firstLine="180"/>
              <w:rPr>
                <w:rFonts w:eastAsia="宋体"/>
                <w:color w:val="000000"/>
                <w:sz w:val="18"/>
                <w:szCs w:val="18"/>
                <w:lang w:eastAsia="zh-CN"/>
              </w:rPr>
            </w:pPr>
            <w:r w:rsidRPr="00FB031B">
              <w:rPr>
                <w:rFonts w:eastAsia="宋体"/>
                <w:color w:val="000000"/>
                <w:sz w:val="18"/>
                <w:szCs w:val="18"/>
                <w:lang w:eastAsia="zh-CN"/>
              </w:rPr>
              <w:lastRenderedPageBreak/>
              <w:t>Franchise revenues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10,020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17,028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2,617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63,532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100,013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15,372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ind w:firstLineChars="100" w:firstLine="180"/>
              <w:rPr>
                <w:rFonts w:eastAsia="宋体"/>
                <w:color w:val="000000"/>
                <w:sz w:val="18"/>
                <w:szCs w:val="18"/>
                <w:lang w:eastAsia="zh-CN"/>
              </w:rPr>
            </w:pPr>
            <w:r w:rsidRPr="00FB031B">
              <w:rPr>
                <w:rFonts w:eastAsia="宋体"/>
                <w:color w:val="000000"/>
                <w:sz w:val="18"/>
                <w:szCs w:val="18"/>
                <w:lang w:eastAsia="zh-CN"/>
              </w:rPr>
              <w:t>Others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195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5,382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828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29,135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38,156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5,864 </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Cost of revenues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(92,451)</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(129,320)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(19,876)</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(363,579)</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(452,220)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(69,505)</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Gross profit</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100,800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142,837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21,954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347,414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517,055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79,470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Selling and marketing expenses</w:t>
            </w:r>
            <w:r w:rsidRPr="00FB031B">
              <w:rPr>
                <w:rFonts w:eastAsia="宋体"/>
                <w:color w:val="000000"/>
                <w:sz w:val="18"/>
                <w:szCs w:val="18"/>
                <w:vertAlign w:val="superscript"/>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(44,310)</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(61,702)</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(9,483)</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(128,475)</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(177,993)</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(27,357)</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General and administrative expenses</w:t>
            </w:r>
            <w:r w:rsidRPr="00FB031B">
              <w:rPr>
                <w:rFonts w:eastAsia="宋体"/>
                <w:color w:val="000000"/>
                <w:sz w:val="18"/>
                <w:szCs w:val="18"/>
                <w:vertAlign w:val="superscript"/>
                <w:lang w:eastAsia="zh-CN"/>
              </w:rPr>
              <w:t xml:space="preserve"> </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(42,835)</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(210,000)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(32,277)</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(148,093)</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(339,690)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(52,209)</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Operating income / (loss)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13,655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(128,865)</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(19,806)</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70,846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(628)</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(96)</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Interest income</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4,416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3,947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607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16,622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19,559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3,006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Interest expense</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(5,035)</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(10,967)</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(1,686)</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(6,073)</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(26,589)</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(4,087)</w:t>
            </w:r>
          </w:p>
        </w:tc>
      </w:tr>
      <w:tr w:rsidR="00BD059B" w:rsidRPr="00FB031B" w:rsidTr="00BD059B">
        <w:trPr>
          <w:divId w:val="1081558984"/>
          <w:trHeight w:val="48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Foreign currency exchange (loss)/income</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(1,367)</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208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32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(2,741)</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388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60 </w:t>
            </w:r>
          </w:p>
        </w:tc>
      </w:tr>
      <w:tr w:rsidR="00BD059B" w:rsidRPr="00FB031B" w:rsidTr="00BD059B">
        <w:trPr>
          <w:divId w:val="1081558984"/>
          <w:trHeight w:val="31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Other income, net</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4,352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6,617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1,017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4,391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6,594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1,013 </w:t>
            </w:r>
          </w:p>
        </w:tc>
      </w:tr>
      <w:tr w:rsidR="00BD059B" w:rsidRPr="00FB031B" w:rsidTr="00BD059B">
        <w:trPr>
          <w:divId w:val="1081558984"/>
          <w:trHeight w:val="48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Income / (loss) before income tax expense</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16,021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(129,060)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(19,836)</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83,045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single" w:sz="8" w:space="0" w:color="000000"/>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(676)</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(104)</w:t>
            </w:r>
          </w:p>
        </w:tc>
      </w:tr>
      <w:tr w:rsidR="00BD059B" w:rsidRPr="00FB031B" w:rsidTr="00BD059B">
        <w:trPr>
          <w:divId w:val="1081558984"/>
          <w:trHeight w:val="31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Income tax expense</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(10,340)</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(8,932)</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(1,373)</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(32,202)</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(52,924)</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(8,134)</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Net income / (loss)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5,681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(137,992)</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(21,209)</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50,843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(53,600)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double" w:sz="6" w:space="0" w:color="auto"/>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(8,238)</w:t>
            </w:r>
          </w:p>
        </w:tc>
      </w:tr>
      <w:tr w:rsidR="00BD059B" w:rsidRPr="00FB031B" w:rsidTr="00BD059B">
        <w:trPr>
          <w:divId w:val="1081558984"/>
          <w:trHeight w:val="51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Add: net loss / (income) attributable to non-controlling interests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1,963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3,080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5,626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865 </w:t>
            </w:r>
          </w:p>
        </w:tc>
      </w:tr>
      <w:tr w:rsidR="00BD059B" w:rsidRPr="00FB031B" w:rsidTr="00BD059B">
        <w:trPr>
          <w:divId w:val="1081558984"/>
          <w:trHeight w:val="49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Net income attributable to RISE Education Cayman Ltd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7,644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(137,996)</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(21,210)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53,923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(47,974)</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(7,373)</w:t>
            </w:r>
          </w:p>
        </w:tc>
      </w:tr>
      <w:tr w:rsidR="00BD059B" w:rsidRPr="00FB031B" w:rsidTr="00BD059B">
        <w:trPr>
          <w:divId w:val="1081558984"/>
          <w:trHeight w:val="31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48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Net income / (loss) per ordinary share:</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Basic and diluted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0.08 </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(1.28)</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(0.20)</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0.54 </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(0.47)</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(0.07)</w:t>
            </w:r>
          </w:p>
        </w:tc>
      </w:tr>
      <w:tr w:rsidR="00BD059B" w:rsidRPr="00FB031B" w:rsidTr="00BD059B">
        <w:trPr>
          <w:divId w:val="1081558984"/>
          <w:trHeight w:val="31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Net  income / (loss) per ADS: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Basic and diluted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0.15 </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(2.57)</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(0.39)</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1.08 </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(0.94)</w:t>
            </w:r>
          </w:p>
        </w:tc>
        <w:tc>
          <w:tcPr>
            <w:tcW w:w="329" w:type="dxa"/>
            <w:tcBorders>
              <w:top w:val="nil"/>
              <w:left w:val="nil"/>
              <w:bottom w:val="nil"/>
              <w:right w:val="nil"/>
            </w:tcBorders>
            <w:shd w:val="clear" w:color="auto" w:fill="auto"/>
            <w:noWrap/>
            <w:vAlign w:val="center"/>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(0.14)</w:t>
            </w:r>
          </w:p>
        </w:tc>
      </w:tr>
      <w:tr w:rsidR="00BD059B" w:rsidRPr="00FB031B" w:rsidTr="00BD059B">
        <w:trPr>
          <w:divId w:val="1081558984"/>
          <w:trHeight w:val="31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double" w:sz="6" w:space="0" w:color="000000"/>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48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Shares used in net  income / (loss) per ordinary share computation:</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Basic and diluted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100,000,000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107,500,000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107,500,000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100,000,000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101,890,411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101,890,411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48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Shares used in net  income / (loss) per ADS computation:</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Basic and diluted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50,000,000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53,750,000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53,750,000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50,000,000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50,945,205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50,945,205 </w:t>
            </w:r>
          </w:p>
        </w:tc>
      </w:tr>
      <w:tr w:rsidR="00BD059B" w:rsidRPr="00FB031B" w:rsidTr="00BD059B">
        <w:trPr>
          <w:divId w:val="1081558984"/>
          <w:trHeight w:val="30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300"/>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Net income / (loss)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5,681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(137,992)</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(21,209)</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50,843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(53,600)</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(8,238)</w:t>
            </w:r>
          </w:p>
        </w:tc>
      </w:tr>
      <w:tr w:rsidR="00BD059B" w:rsidRPr="00FB031B" w:rsidTr="00BD059B">
        <w:trPr>
          <w:divId w:val="1081558984"/>
          <w:trHeight w:val="480"/>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Other comprehensive  income / (loss), net of tax of nil:</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r>
      <w:tr w:rsidR="00BD059B" w:rsidRPr="00FB031B" w:rsidTr="00BD059B">
        <w:trPr>
          <w:divId w:val="1081558984"/>
          <w:trHeight w:val="49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Foreign currency translation adjustments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6,062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1,663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256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22,275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(10,424)</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nil"/>
              <w:right w:val="nil"/>
            </w:tcBorders>
            <w:shd w:val="clear" w:color="auto" w:fill="auto"/>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(1,602)</w:t>
            </w:r>
          </w:p>
        </w:tc>
      </w:tr>
      <w:tr w:rsidR="00BD059B" w:rsidRPr="00FB031B" w:rsidTr="00BD059B">
        <w:trPr>
          <w:divId w:val="1081558984"/>
          <w:trHeight w:val="49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lastRenderedPageBreak/>
              <w:t>Other comprehensive  income / (loss)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6,062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1,663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256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22,275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(10,424)</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single" w:sz="8" w:space="0" w:color="000000"/>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(1,602)</w:t>
            </w:r>
          </w:p>
        </w:tc>
      </w:tr>
      <w:tr w:rsidR="00BD059B" w:rsidRPr="00FB031B" w:rsidTr="00BD059B">
        <w:trPr>
          <w:divId w:val="1081558984"/>
          <w:trHeight w:val="31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Comprehensive  income / (loss)</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11,743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(136,329)</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(20,953)</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73,118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(64,024)</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(9,840)</w:t>
            </w:r>
          </w:p>
        </w:tc>
      </w:tr>
      <w:tr w:rsidR="00BD059B" w:rsidRPr="00FB031B" w:rsidTr="00BD059B">
        <w:trPr>
          <w:divId w:val="1081558984"/>
          <w:trHeight w:val="495"/>
          <w:jc w:val="center"/>
        </w:trPr>
        <w:tc>
          <w:tcPr>
            <w:tcW w:w="2032"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Add: comprehensive loss / (income) attributable to non-controlling interests</w:t>
            </w:r>
          </w:p>
        </w:tc>
        <w:tc>
          <w:tcPr>
            <w:tcW w:w="100"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1,963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8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(4)</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6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FF0000"/>
                <w:sz w:val="18"/>
                <w:szCs w:val="18"/>
                <w:lang w:eastAsia="zh-CN"/>
              </w:rPr>
              <w:t>(1)</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231"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3,080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20"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5,626 </w:t>
            </w:r>
          </w:p>
        </w:tc>
        <w:tc>
          <w:tcPr>
            <w:tcW w:w="329" w:type="dxa"/>
            <w:tcBorders>
              <w:top w:val="nil"/>
              <w:left w:val="nil"/>
              <w:bottom w:val="nil"/>
              <w:right w:val="nil"/>
            </w:tcBorders>
            <w:shd w:val="clear" w:color="000000" w:fill="DBEEF3"/>
            <w:vAlign w:val="bottom"/>
            <w:hideMark/>
          </w:tcPr>
          <w:p w:rsidR="00BD059B" w:rsidRPr="00FB031B" w:rsidRDefault="00BD059B" w:rsidP="005005D3">
            <w:pPr>
              <w:rPr>
                <w:rFonts w:eastAsia="宋体"/>
                <w:color w:val="000000"/>
                <w:sz w:val="18"/>
                <w:szCs w:val="18"/>
                <w:lang w:eastAsia="zh-CN"/>
              </w:rPr>
            </w:pPr>
            <w:r w:rsidRPr="00FB031B">
              <w:rPr>
                <w:rFonts w:eastAsia="宋体"/>
                <w:color w:val="000000"/>
                <w:sz w:val="18"/>
                <w:szCs w:val="18"/>
                <w:lang w:eastAsia="zh-CN"/>
              </w:rPr>
              <w:t xml:space="preserve">　</w:t>
            </w:r>
          </w:p>
        </w:tc>
        <w:tc>
          <w:tcPr>
            <w:tcW w:w="1194" w:type="dxa"/>
            <w:tcBorders>
              <w:top w:val="nil"/>
              <w:left w:val="nil"/>
              <w:bottom w:val="single" w:sz="8" w:space="0" w:color="000000"/>
              <w:right w:val="nil"/>
            </w:tcBorders>
            <w:shd w:val="clear" w:color="000000" w:fill="DBEEF3"/>
            <w:vAlign w:val="bottom"/>
            <w:hideMark/>
          </w:tcPr>
          <w:p w:rsidR="00BD059B" w:rsidRPr="00FB031B" w:rsidRDefault="00BD059B" w:rsidP="005005D3">
            <w:pPr>
              <w:jc w:val="right"/>
              <w:rPr>
                <w:rFonts w:eastAsia="宋体"/>
                <w:color w:val="000000"/>
                <w:sz w:val="18"/>
                <w:szCs w:val="18"/>
                <w:lang w:eastAsia="zh-CN"/>
              </w:rPr>
            </w:pPr>
            <w:r w:rsidRPr="00FB031B">
              <w:rPr>
                <w:rFonts w:eastAsia="宋体"/>
                <w:color w:val="000000"/>
                <w:sz w:val="18"/>
                <w:szCs w:val="18"/>
                <w:lang w:eastAsia="zh-CN"/>
              </w:rPr>
              <w:t xml:space="preserve">865 </w:t>
            </w:r>
          </w:p>
        </w:tc>
      </w:tr>
      <w:tr w:rsidR="00BD059B" w:rsidRPr="00FB031B" w:rsidTr="00BD059B">
        <w:trPr>
          <w:divId w:val="1081558984"/>
          <w:trHeight w:val="735"/>
          <w:jc w:val="center"/>
        </w:trPr>
        <w:tc>
          <w:tcPr>
            <w:tcW w:w="2032"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Comprehensive  income / (loss) attributable to RISE Education Cayman Ltd</w:t>
            </w:r>
          </w:p>
        </w:tc>
        <w:tc>
          <w:tcPr>
            <w:tcW w:w="100"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13,706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8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(136,333)</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6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(20,954)</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231"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000000"/>
                <w:sz w:val="18"/>
                <w:szCs w:val="18"/>
                <w:lang w:eastAsia="zh-CN"/>
              </w:rPr>
              <w:t xml:space="preserve">76,198 </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20"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(58,398)</w:t>
            </w:r>
          </w:p>
        </w:tc>
        <w:tc>
          <w:tcPr>
            <w:tcW w:w="329" w:type="dxa"/>
            <w:tcBorders>
              <w:top w:val="nil"/>
              <w:left w:val="nil"/>
              <w:bottom w:val="nil"/>
              <w:right w:val="nil"/>
            </w:tcBorders>
            <w:shd w:val="clear" w:color="auto" w:fill="auto"/>
            <w:vAlign w:val="bottom"/>
            <w:hideMark/>
          </w:tcPr>
          <w:p w:rsidR="00BD059B" w:rsidRPr="00FB031B" w:rsidRDefault="00BD059B" w:rsidP="005005D3">
            <w:pPr>
              <w:rPr>
                <w:rFonts w:eastAsia="宋体"/>
                <w:b/>
                <w:bCs/>
                <w:color w:val="000000"/>
                <w:sz w:val="18"/>
                <w:szCs w:val="18"/>
                <w:lang w:eastAsia="zh-CN"/>
              </w:rPr>
            </w:pPr>
            <w:r w:rsidRPr="00FB031B">
              <w:rPr>
                <w:rFonts w:eastAsia="宋体"/>
                <w:b/>
                <w:bCs/>
                <w:color w:val="000000"/>
                <w:sz w:val="18"/>
                <w:szCs w:val="18"/>
                <w:lang w:eastAsia="zh-CN"/>
              </w:rPr>
              <w:t xml:space="preserve">　</w:t>
            </w:r>
          </w:p>
        </w:tc>
        <w:tc>
          <w:tcPr>
            <w:tcW w:w="1194" w:type="dxa"/>
            <w:tcBorders>
              <w:top w:val="nil"/>
              <w:left w:val="nil"/>
              <w:bottom w:val="double" w:sz="6" w:space="0" w:color="000000"/>
              <w:right w:val="nil"/>
            </w:tcBorders>
            <w:shd w:val="clear" w:color="auto" w:fill="auto"/>
            <w:vAlign w:val="bottom"/>
            <w:hideMark/>
          </w:tcPr>
          <w:p w:rsidR="00BD059B" w:rsidRPr="00FB031B" w:rsidRDefault="00BD059B" w:rsidP="005005D3">
            <w:pPr>
              <w:jc w:val="right"/>
              <w:rPr>
                <w:rFonts w:eastAsia="宋体"/>
                <w:b/>
                <w:bCs/>
                <w:color w:val="000000"/>
                <w:sz w:val="18"/>
                <w:szCs w:val="18"/>
                <w:lang w:eastAsia="zh-CN"/>
              </w:rPr>
            </w:pPr>
            <w:r w:rsidRPr="00FB031B">
              <w:rPr>
                <w:rFonts w:eastAsia="宋体"/>
                <w:b/>
                <w:bCs/>
                <w:color w:val="FF0000"/>
                <w:sz w:val="18"/>
                <w:szCs w:val="18"/>
                <w:lang w:eastAsia="zh-CN"/>
              </w:rPr>
              <w:t>(8,975)</w:t>
            </w:r>
          </w:p>
        </w:tc>
      </w:tr>
    </w:tbl>
    <w:p w:rsidR="00BD059B" w:rsidRDefault="00BD059B" w:rsidP="00BD059B">
      <w:pPr>
        <w:pStyle w:val="a3"/>
        <w:spacing w:before="0" w:beforeAutospacing="0" w:after="0" w:afterAutospacing="0"/>
        <w:jc w:val="both"/>
        <w:divId w:val="1081558984"/>
        <w:rPr>
          <w:lang w:eastAsia="zh-CN"/>
        </w:rPr>
      </w:pPr>
    </w:p>
    <w:p w:rsidR="00353CD2" w:rsidRDefault="00353CD2" w:rsidP="00BD059B">
      <w:pPr>
        <w:pStyle w:val="a3"/>
        <w:spacing w:before="0" w:beforeAutospacing="0" w:after="0" w:afterAutospacing="0"/>
        <w:jc w:val="both"/>
        <w:divId w:val="1081558984"/>
        <w:rPr>
          <w:lang w:eastAsia="zh-CN"/>
        </w:rPr>
      </w:pPr>
    </w:p>
    <w:p w:rsidR="00BD059B" w:rsidRDefault="00BD059B" w:rsidP="00BD059B">
      <w:pPr>
        <w:pStyle w:val="a3"/>
        <w:spacing w:before="0" w:beforeAutospacing="0" w:after="0" w:afterAutospacing="0"/>
        <w:jc w:val="both"/>
        <w:divId w:val="1081558984"/>
        <w:rPr>
          <w:lang w:eastAsia="zh-CN"/>
        </w:rPr>
      </w:pPr>
    </w:p>
    <w:tbl>
      <w:tblPr>
        <w:tblW w:w="10864" w:type="dxa"/>
        <w:jc w:val="center"/>
        <w:tblInd w:w="96" w:type="dxa"/>
        <w:tblLook w:val="04A0"/>
      </w:tblPr>
      <w:tblGrid>
        <w:gridCol w:w="1301"/>
        <w:gridCol w:w="221"/>
        <w:gridCol w:w="1294"/>
        <w:gridCol w:w="325"/>
        <w:gridCol w:w="1295"/>
        <w:gridCol w:w="326"/>
        <w:gridCol w:w="1295"/>
        <w:gridCol w:w="326"/>
        <w:gridCol w:w="1295"/>
        <w:gridCol w:w="326"/>
        <w:gridCol w:w="1295"/>
        <w:gridCol w:w="326"/>
        <w:gridCol w:w="1295"/>
      </w:tblGrid>
      <w:tr w:rsidR="00AB32B7" w:rsidRPr="00AB32B7" w:rsidTr="00AB32B7">
        <w:trPr>
          <w:divId w:val="1081558984"/>
          <w:trHeight w:val="300"/>
          <w:jc w:val="center"/>
        </w:trPr>
        <w:tc>
          <w:tcPr>
            <w:tcW w:w="10864" w:type="dxa"/>
            <w:gridSpan w:val="13"/>
            <w:tcBorders>
              <w:top w:val="nil"/>
              <w:left w:val="nil"/>
              <w:bottom w:val="nil"/>
              <w:right w:val="nil"/>
            </w:tcBorders>
            <w:shd w:val="clear" w:color="auto" w:fill="auto"/>
            <w:noWrap/>
            <w:vAlign w:val="center"/>
            <w:hideMark/>
          </w:tcPr>
          <w:p w:rsidR="00AB32B7" w:rsidRPr="00AB32B7" w:rsidRDefault="00AB32B7" w:rsidP="00AB32B7">
            <w:pPr>
              <w:jc w:val="center"/>
              <w:rPr>
                <w:rFonts w:eastAsia="宋体"/>
                <w:b/>
                <w:bCs/>
                <w:color w:val="000000"/>
                <w:sz w:val="20"/>
                <w:szCs w:val="20"/>
                <w:lang w:eastAsia="zh-CN"/>
              </w:rPr>
            </w:pPr>
            <w:r w:rsidRPr="00AB32B7">
              <w:rPr>
                <w:rFonts w:eastAsia="宋体"/>
                <w:b/>
                <w:bCs/>
                <w:color w:val="000000"/>
                <w:sz w:val="20"/>
                <w:szCs w:val="20"/>
                <w:lang w:eastAsia="zh-CN"/>
              </w:rPr>
              <w:t>RISE EDUCATION CAYMAN LTD</w:t>
            </w:r>
          </w:p>
        </w:tc>
      </w:tr>
      <w:tr w:rsidR="00AB32B7" w:rsidRPr="00AB32B7" w:rsidTr="00AB32B7">
        <w:trPr>
          <w:divId w:val="1081558984"/>
          <w:trHeight w:val="300"/>
          <w:jc w:val="center"/>
        </w:trPr>
        <w:tc>
          <w:tcPr>
            <w:tcW w:w="10864" w:type="dxa"/>
            <w:gridSpan w:val="13"/>
            <w:tcBorders>
              <w:top w:val="nil"/>
              <w:left w:val="nil"/>
              <w:bottom w:val="nil"/>
              <w:right w:val="nil"/>
            </w:tcBorders>
            <w:shd w:val="clear" w:color="auto" w:fill="auto"/>
            <w:noWrap/>
            <w:vAlign w:val="center"/>
            <w:hideMark/>
          </w:tcPr>
          <w:p w:rsidR="00AB32B7" w:rsidRPr="00AB32B7" w:rsidRDefault="00AB32B7" w:rsidP="00AB32B7">
            <w:pPr>
              <w:jc w:val="center"/>
              <w:rPr>
                <w:rFonts w:eastAsia="宋体"/>
                <w:b/>
                <w:bCs/>
                <w:color w:val="000000"/>
                <w:sz w:val="20"/>
                <w:szCs w:val="20"/>
                <w:lang w:eastAsia="zh-CN"/>
              </w:rPr>
            </w:pPr>
            <w:r w:rsidRPr="00AB32B7">
              <w:rPr>
                <w:rFonts w:eastAsia="宋体"/>
                <w:b/>
                <w:bCs/>
                <w:color w:val="000000"/>
                <w:sz w:val="20"/>
                <w:szCs w:val="20"/>
                <w:lang w:eastAsia="zh-CN"/>
              </w:rPr>
              <w:t>RECONCILIATION OF GAAP AND NON-GAAP RESULTS</w:t>
            </w:r>
          </w:p>
        </w:tc>
      </w:tr>
      <w:tr w:rsidR="00AB32B7" w:rsidRPr="00AB32B7" w:rsidTr="00AB32B7">
        <w:trPr>
          <w:divId w:val="1081558984"/>
          <w:trHeight w:val="300"/>
          <w:jc w:val="center"/>
        </w:trPr>
        <w:tc>
          <w:tcPr>
            <w:tcW w:w="10864" w:type="dxa"/>
            <w:gridSpan w:val="13"/>
            <w:tcBorders>
              <w:top w:val="nil"/>
              <w:left w:val="nil"/>
              <w:bottom w:val="nil"/>
              <w:right w:val="nil"/>
            </w:tcBorders>
            <w:shd w:val="clear" w:color="auto" w:fill="auto"/>
            <w:noWrap/>
            <w:vAlign w:val="center"/>
            <w:hideMark/>
          </w:tcPr>
          <w:p w:rsidR="00AB32B7" w:rsidRPr="00AB32B7" w:rsidRDefault="00AB32B7" w:rsidP="00AB32B7">
            <w:pPr>
              <w:jc w:val="center"/>
              <w:rPr>
                <w:rFonts w:eastAsia="宋体"/>
                <w:b/>
                <w:bCs/>
                <w:color w:val="000000"/>
                <w:sz w:val="20"/>
                <w:szCs w:val="20"/>
                <w:lang w:eastAsia="zh-CN"/>
              </w:rPr>
            </w:pPr>
            <w:r w:rsidRPr="00AB32B7">
              <w:rPr>
                <w:rFonts w:eastAsia="宋体"/>
                <w:b/>
                <w:bCs/>
                <w:color w:val="000000"/>
                <w:sz w:val="20"/>
                <w:szCs w:val="20"/>
                <w:lang w:eastAsia="zh-CN"/>
              </w:rPr>
              <w:t>(in thousands, except share data and per share data)</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noWrap/>
            <w:vAlign w:val="center"/>
            <w:hideMark/>
          </w:tcPr>
          <w:p w:rsidR="00AB32B7" w:rsidRPr="00AB32B7" w:rsidRDefault="00AB32B7" w:rsidP="00AB32B7">
            <w:pPr>
              <w:jc w:val="center"/>
              <w:rPr>
                <w:rFonts w:eastAsia="宋体"/>
                <w:color w:val="000000"/>
                <w:sz w:val="20"/>
                <w:szCs w:val="20"/>
                <w:lang w:eastAsia="zh-CN"/>
              </w:rPr>
            </w:pP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4645" w:type="dxa"/>
            <w:gridSpan w:val="5"/>
            <w:tcBorders>
              <w:top w:val="nil"/>
              <w:left w:val="nil"/>
              <w:bottom w:val="single" w:sz="8" w:space="0" w:color="auto"/>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Three Months Ended December 31,</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4645" w:type="dxa"/>
            <w:gridSpan w:val="5"/>
            <w:tcBorders>
              <w:top w:val="nil"/>
              <w:left w:val="nil"/>
              <w:bottom w:val="single" w:sz="8" w:space="0" w:color="auto"/>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Twelve Months Ended December 31,</w:t>
            </w:r>
          </w:p>
        </w:tc>
      </w:tr>
      <w:tr w:rsidR="00AB6EFA"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2016</w:t>
            </w:r>
          </w:p>
        </w:tc>
        <w:tc>
          <w:tcPr>
            <w:tcW w:w="329" w:type="dxa"/>
            <w:tcBorders>
              <w:top w:val="nil"/>
              <w:left w:val="nil"/>
              <w:bottom w:val="nil"/>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2016</w:t>
            </w:r>
          </w:p>
        </w:tc>
        <w:tc>
          <w:tcPr>
            <w:tcW w:w="329" w:type="dxa"/>
            <w:tcBorders>
              <w:top w:val="nil"/>
              <w:left w:val="nil"/>
              <w:bottom w:val="nil"/>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2017</w:t>
            </w:r>
          </w:p>
        </w:tc>
        <w:tc>
          <w:tcPr>
            <w:tcW w:w="329" w:type="dxa"/>
            <w:tcBorders>
              <w:top w:val="nil"/>
              <w:left w:val="nil"/>
              <w:bottom w:val="nil"/>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2017</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USD</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RMB</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center"/>
              <w:rPr>
                <w:rFonts w:eastAsia="宋体"/>
                <w:b/>
                <w:bCs/>
                <w:color w:val="000000"/>
                <w:sz w:val="18"/>
                <w:szCs w:val="18"/>
                <w:lang w:eastAsia="zh-CN"/>
              </w:rPr>
            </w:pPr>
            <w:r w:rsidRPr="00AB32B7">
              <w:rPr>
                <w:rFonts w:eastAsia="宋体"/>
                <w:b/>
                <w:bCs/>
                <w:color w:val="000000"/>
                <w:sz w:val="18"/>
                <w:szCs w:val="18"/>
                <w:lang w:eastAsia="zh-CN"/>
              </w:rPr>
              <w:t>USD</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Net income / (loss)</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5,681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(137,992)</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(21,209)</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50,843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(53,600)</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(8,238)</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SBC</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95,307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14,648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95,307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14,648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IPO related expenses</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47,690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7,330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52,907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8,132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One-off expenses</w:t>
            </w:r>
            <w:r w:rsidRPr="00AB32B7">
              <w:rPr>
                <w:rFonts w:eastAsia="宋体"/>
                <w:color w:val="000000"/>
                <w:sz w:val="18"/>
                <w:szCs w:val="18"/>
                <w:vertAlign w:val="superscript"/>
                <w:lang w:eastAsia="zh-CN"/>
              </w:rPr>
              <w:t xml:space="preserve"> </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34,150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5,248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38,232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5,876 </w:t>
            </w:r>
          </w:p>
        </w:tc>
      </w:tr>
      <w:tr w:rsidR="00AB32B7"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Income tax expense</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(10,532)</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(1,619)</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(10,532)</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(1,619)</w:t>
            </w:r>
          </w:p>
        </w:tc>
      </w:tr>
      <w:tr w:rsidR="00AB6EFA"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net income</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5,681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28,623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4,398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50,843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122,314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18,799 </w:t>
            </w:r>
          </w:p>
        </w:tc>
      </w:tr>
      <w:tr w:rsidR="00AB6EFA" w:rsidRPr="00AB32B7" w:rsidTr="00AB32B7">
        <w:trPr>
          <w:divId w:val="1081558984"/>
          <w:trHeight w:val="75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Add: net loss / (income) attributable to non-controlling interests</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1,963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(4)</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3,080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5,626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single" w:sz="8" w:space="0" w:color="000000"/>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865 </w:t>
            </w:r>
          </w:p>
        </w:tc>
      </w:tr>
      <w:tr w:rsidR="00AB6EFA" w:rsidRPr="00AB32B7" w:rsidTr="00AB32B7">
        <w:trPr>
          <w:divId w:val="1081558984"/>
          <w:trHeight w:val="73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net income attributable to RISE Education Cayman Ltd</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7,644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28,619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4,397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53,923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127,940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double" w:sz="6" w:space="0" w:color="000000"/>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19,664 </w:t>
            </w:r>
          </w:p>
        </w:tc>
      </w:tr>
      <w:tr w:rsidR="00AB32B7"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Net income / (loss)</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5,681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(137,992)</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(21,209)</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50,843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(53,600)</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FF0000"/>
                <w:sz w:val="18"/>
                <w:szCs w:val="18"/>
                <w:lang w:eastAsia="zh-CN"/>
              </w:rPr>
              <w:t>(8,238)</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Add: Depreciation</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8,725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7,614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1,170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29,634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29,246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4,495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Add: Amortization</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8,857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5,379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827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40,188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20,465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3,145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Add: Interest expense</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5,035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10,967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1,686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6,073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26,588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4,087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Add: Income tax expense</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10,340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8,932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1,373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32,202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52,924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8,134 </w:t>
            </w:r>
          </w:p>
        </w:tc>
      </w:tr>
      <w:tr w:rsidR="00AB32B7"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Less: Interest income</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4,416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3,947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607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16,622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19,559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single" w:sz="8" w:space="0" w:color="auto"/>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3,006 </w:t>
            </w:r>
          </w:p>
        </w:tc>
      </w:tr>
      <w:tr w:rsidR="00AB6EFA"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EBITDA</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34,222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FF0000"/>
                <w:sz w:val="18"/>
                <w:szCs w:val="18"/>
                <w:lang w:eastAsia="zh-CN"/>
              </w:rPr>
              <w:t>(109,047)</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FF0000"/>
                <w:sz w:val="18"/>
                <w:szCs w:val="18"/>
                <w:lang w:eastAsia="zh-CN"/>
              </w:rPr>
              <w:t>(16,760)</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142,318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56,064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double" w:sz="6" w:space="0" w:color="auto"/>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8,617 </w:t>
            </w:r>
          </w:p>
        </w:tc>
      </w:tr>
      <w:tr w:rsidR="00AB32B7"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lastRenderedPageBreak/>
              <w:t>SBC</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95,307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14,648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95,307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14,648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IPO related expenses</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47,690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7,330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52,907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8,132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One-off expenses</w:t>
            </w:r>
            <w:r w:rsidRPr="00AB32B7">
              <w:rPr>
                <w:rFonts w:eastAsia="宋体"/>
                <w:color w:val="000000"/>
                <w:sz w:val="18"/>
                <w:szCs w:val="18"/>
                <w:vertAlign w:val="superscript"/>
                <w:lang w:eastAsia="zh-CN"/>
              </w:rPr>
              <w:t xml:space="preserve"> </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34,150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5,248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38,232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5,876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Adjusted EBITDA</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34,222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68,100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10,466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142,318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242,510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37,273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Cost of revenues</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92,451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129,320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19,876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363,579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452,220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69,505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ind w:firstLineChars="100" w:firstLine="180"/>
              <w:rPr>
                <w:rFonts w:eastAsia="宋体"/>
                <w:color w:val="000000"/>
                <w:sz w:val="18"/>
                <w:szCs w:val="18"/>
                <w:lang w:eastAsia="zh-CN"/>
              </w:rPr>
            </w:pPr>
            <w:r w:rsidRPr="00AB32B7">
              <w:rPr>
                <w:rFonts w:eastAsia="宋体"/>
                <w:color w:val="000000"/>
                <w:sz w:val="18"/>
                <w:szCs w:val="18"/>
                <w:lang w:eastAsia="zh-CN"/>
              </w:rPr>
              <w:t>Personnel costs</w:t>
            </w:r>
          </w:p>
        </w:tc>
        <w:tc>
          <w:tcPr>
            <w:tcW w:w="30"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36,887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60,298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9,268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131,598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176,995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27,204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ind w:firstLineChars="100" w:firstLine="180"/>
              <w:rPr>
                <w:rFonts w:eastAsia="宋体"/>
                <w:color w:val="000000"/>
                <w:sz w:val="18"/>
                <w:szCs w:val="18"/>
                <w:lang w:eastAsia="zh-CN"/>
              </w:rPr>
            </w:pPr>
            <w:r w:rsidRPr="00AB32B7">
              <w:rPr>
                <w:rFonts w:eastAsia="宋体"/>
                <w:color w:val="000000"/>
                <w:sz w:val="18"/>
                <w:szCs w:val="18"/>
                <w:lang w:eastAsia="zh-CN"/>
              </w:rPr>
              <w:t>Rental costs</w:t>
            </w:r>
          </w:p>
        </w:tc>
        <w:tc>
          <w:tcPr>
            <w:tcW w:w="30"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30,411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36,913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5,673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109,692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146,678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22,544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ind w:firstLineChars="100" w:firstLine="180"/>
              <w:rPr>
                <w:rFonts w:eastAsia="宋体"/>
                <w:color w:val="000000"/>
                <w:sz w:val="18"/>
                <w:szCs w:val="18"/>
                <w:lang w:eastAsia="zh-CN"/>
              </w:rPr>
            </w:pPr>
            <w:r w:rsidRPr="00AB32B7">
              <w:rPr>
                <w:rFonts w:eastAsia="宋体"/>
                <w:color w:val="000000"/>
                <w:sz w:val="18"/>
                <w:szCs w:val="18"/>
                <w:lang w:eastAsia="zh-CN"/>
              </w:rPr>
              <w:t>Others</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25,153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32,109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4,935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122,289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128,547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19,757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Less: SBC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17,063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2,623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17,063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2,623 </w:t>
            </w:r>
          </w:p>
        </w:tc>
      </w:tr>
      <w:tr w:rsidR="00AB6EFA" w:rsidRPr="00AB32B7" w:rsidTr="00AB32B7">
        <w:trPr>
          <w:divId w:val="1081558984"/>
          <w:trHeight w:val="31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cost of revenues</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92,451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112,257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17,253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363,579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435,157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66,882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Selling and marketing expenses</w:t>
            </w:r>
            <w:r w:rsidRPr="00AB32B7">
              <w:rPr>
                <w:rFonts w:eastAsia="宋体"/>
                <w:b/>
                <w:bCs/>
                <w:color w:val="000000"/>
                <w:sz w:val="18"/>
                <w:szCs w:val="18"/>
                <w:vertAlign w:val="superscript"/>
                <w:lang w:eastAsia="zh-CN"/>
              </w:rPr>
              <w:t xml:space="preserve"> </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44,310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61,702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9,483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128,475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177,993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27,357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Less: SBC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9,045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1,390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9,045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1,390 </w:t>
            </w:r>
          </w:p>
        </w:tc>
      </w:tr>
      <w:tr w:rsidR="00AB6EFA" w:rsidRPr="00AB32B7" w:rsidTr="00AB32B7">
        <w:trPr>
          <w:divId w:val="1081558984"/>
          <w:trHeight w:val="49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Non-GAAP selling and marketing expenses </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44,310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52,657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8,093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128,475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168,948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25,967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48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General and administrative expenses</w:t>
            </w:r>
            <w:r w:rsidRPr="00AB32B7">
              <w:rPr>
                <w:rFonts w:eastAsia="宋体"/>
                <w:b/>
                <w:bCs/>
                <w:color w:val="000000"/>
                <w:sz w:val="18"/>
                <w:szCs w:val="18"/>
                <w:vertAlign w:val="superscript"/>
                <w:lang w:eastAsia="zh-CN"/>
              </w:rPr>
              <w:t xml:space="preserve"> </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42,835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210,000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32,277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148,093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339,690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52,209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Less: SBC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69,199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10,636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69,199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10,636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Less: IPO related expenses</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47,690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7,330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52,907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8,132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Less: One-off expenses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34,150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5,249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38,232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5,876 </w:t>
            </w:r>
          </w:p>
        </w:tc>
      </w:tr>
      <w:tr w:rsidR="00AB6EFA" w:rsidRPr="00AB32B7" w:rsidTr="00AB32B7">
        <w:trPr>
          <w:divId w:val="1081558984"/>
          <w:trHeight w:val="495"/>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Non-GAAP general and administrative expenses </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42,835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58,961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9,062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148,093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179,352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single" w:sz="8" w:space="0" w:color="auto"/>
              <w:left w:val="nil"/>
              <w:bottom w:val="double" w:sz="6" w:space="0" w:color="auto"/>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27,565 </w:t>
            </w:r>
          </w:p>
        </w:tc>
      </w:tr>
      <w:tr w:rsidR="00AB32B7" w:rsidRPr="00AB32B7" w:rsidTr="00AB32B7">
        <w:trPr>
          <w:divId w:val="1081558984"/>
          <w:trHeight w:val="315"/>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Gross Profit</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100,800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142,837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21,954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347,414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517,055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79,470 </w:t>
            </w:r>
          </w:p>
        </w:tc>
      </w:tr>
      <w:tr w:rsidR="00AB32B7" w:rsidRPr="00AB32B7" w:rsidTr="00AB32B7">
        <w:trPr>
          <w:divId w:val="1081558984"/>
          <w:trHeight w:val="48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Add: SBC included in cost of revenues</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17,063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2,623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17,063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2,623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gross profit</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100,800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159,900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24,577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347,414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534,118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82,093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48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Non-GAAP selling and marketing expenses </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44,310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52,657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8,093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128,475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168,948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25,967 </w:t>
            </w:r>
          </w:p>
        </w:tc>
      </w:tr>
      <w:tr w:rsidR="00AB32B7" w:rsidRPr="00AB32B7" w:rsidTr="00AB32B7">
        <w:trPr>
          <w:divId w:val="1081558984"/>
          <w:trHeight w:val="48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Non-GAAP general and administrative expenses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42,835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58,961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9,062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148,093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179,352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27,565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operating expense</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87,145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111,618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17,155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276,568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348,300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53,532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lastRenderedPageBreak/>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operating income</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13,655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48,282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7,422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70,846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185,818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b/>
                <w:bCs/>
                <w:color w:val="000000"/>
                <w:sz w:val="18"/>
                <w:szCs w:val="18"/>
                <w:lang w:eastAsia="zh-CN"/>
              </w:rPr>
            </w:pPr>
            <w:r w:rsidRPr="00AB32B7">
              <w:rPr>
                <w:rFonts w:eastAsia="宋体"/>
                <w:b/>
                <w:bCs/>
                <w:color w:val="000000"/>
                <w:sz w:val="18"/>
                <w:szCs w:val="18"/>
                <w:lang w:eastAsia="zh-CN"/>
              </w:rPr>
              <w:t xml:space="preserve">28,561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r>
      <w:tr w:rsidR="00AB32B7" w:rsidRPr="00AB32B7" w:rsidTr="00AB32B7">
        <w:trPr>
          <w:divId w:val="1081558984"/>
          <w:trHeight w:val="48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income per ordinary share:</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Basic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0.08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0.27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0.04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0.54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1.26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0.19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Diluted</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0.08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0.26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0.04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0.54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1.22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0.19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Non-GAAP income per ADS:</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Basic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0.15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0.53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0.08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1.08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2.51 </w:t>
            </w:r>
          </w:p>
        </w:tc>
        <w:tc>
          <w:tcPr>
            <w:tcW w:w="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0.39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Diluted</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0.15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0.51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0.08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1.08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2.45 </w:t>
            </w:r>
          </w:p>
        </w:tc>
        <w:tc>
          <w:tcPr>
            <w:tcW w:w="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p>
        </w:tc>
        <w:tc>
          <w:tcPr>
            <w:tcW w:w="1329" w:type="dxa"/>
            <w:tcBorders>
              <w:top w:val="nil"/>
              <w:left w:val="nil"/>
              <w:bottom w:val="nil"/>
              <w:right w:val="nil"/>
            </w:tcBorders>
            <w:shd w:val="clear" w:color="auto" w:fill="auto"/>
            <w:noWrap/>
            <w:vAlign w:val="bottom"/>
            <w:hideMark/>
          </w:tcPr>
          <w:p w:rsidR="00AB32B7" w:rsidRPr="00AB32B7" w:rsidRDefault="00AB32B7" w:rsidP="00AB32B7">
            <w:pPr>
              <w:jc w:val="right"/>
              <w:rPr>
                <w:rFonts w:eastAsia="宋体"/>
                <w:color w:val="000000"/>
                <w:sz w:val="18"/>
                <w:szCs w:val="18"/>
                <w:lang w:eastAsia="zh-CN"/>
              </w:rPr>
            </w:pPr>
            <w:r w:rsidRPr="00AB32B7">
              <w:rPr>
                <w:rFonts w:eastAsia="宋体"/>
                <w:color w:val="000000"/>
                <w:sz w:val="18"/>
                <w:szCs w:val="18"/>
                <w:lang w:eastAsia="zh-CN"/>
              </w:rPr>
              <w:t xml:space="preserve">           0.38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1329"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r>
      <w:tr w:rsidR="00AB32B7" w:rsidRPr="00AB32B7" w:rsidTr="00AB32B7">
        <w:trPr>
          <w:divId w:val="1081558984"/>
          <w:trHeight w:val="48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Shares used in net income per ordinary share computation:</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c>
          <w:tcPr>
            <w:tcW w:w="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c>
          <w:tcPr>
            <w:tcW w:w="1329"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18"/>
                <w:szCs w:val="18"/>
                <w:lang w:eastAsia="zh-CN"/>
              </w:rPr>
            </w:pP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Basic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100,000,000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107,500,000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107,500,000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100,000,000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101,890,411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101,890,411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Diluted</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100,000,000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111,735,979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111,735,979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100,000,000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104,451,436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104,451,436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 xml:space="preserve">　</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r>
      <w:tr w:rsidR="00AB32B7" w:rsidRPr="00AB32B7" w:rsidTr="00AB32B7">
        <w:trPr>
          <w:divId w:val="1081558984"/>
          <w:trHeight w:val="48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b/>
                <w:bCs/>
                <w:color w:val="000000"/>
                <w:sz w:val="18"/>
                <w:szCs w:val="18"/>
                <w:lang w:eastAsia="zh-CN"/>
              </w:rPr>
            </w:pPr>
            <w:r w:rsidRPr="00AB32B7">
              <w:rPr>
                <w:rFonts w:eastAsia="宋体"/>
                <w:b/>
                <w:bCs/>
                <w:color w:val="000000"/>
                <w:sz w:val="18"/>
                <w:szCs w:val="18"/>
                <w:lang w:eastAsia="zh-CN"/>
              </w:rPr>
              <w:t>Shares used in net income per ADS computation:</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r>
      <w:tr w:rsidR="00AB32B7" w:rsidRPr="00AB32B7" w:rsidTr="00AB32B7">
        <w:trPr>
          <w:divId w:val="1081558984"/>
          <w:trHeight w:val="300"/>
          <w:jc w:val="center"/>
        </w:trPr>
        <w:tc>
          <w:tcPr>
            <w:tcW w:w="1215"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Basic</w:t>
            </w:r>
          </w:p>
        </w:tc>
        <w:tc>
          <w:tcPr>
            <w:tcW w:w="30" w:type="dxa"/>
            <w:tcBorders>
              <w:top w:val="nil"/>
              <w:left w:val="nil"/>
              <w:bottom w:val="nil"/>
              <w:right w:val="nil"/>
            </w:tcBorders>
            <w:shd w:val="clear" w:color="000000" w:fill="DBEEF3"/>
            <w:noWrap/>
            <w:vAlign w:val="center"/>
            <w:hideMark/>
          </w:tcPr>
          <w:p w:rsidR="00AB32B7" w:rsidRPr="00AB32B7" w:rsidRDefault="00AB32B7" w:rsidP="00AB32B7">
            <w:pPr>
              <w:rPr>
                <w:rFonts w:eastAsia="宋体"/>
                <w:color w:val="000000"/>
                <w:sz w:val="22"/>
                <w:szCs w:val="22"/>
                <w:lang w:eastAsia="zh-CN"/>
              </w:rPr>
            </w:pPr>
            <w:r w:rsidRPr="00AB32B7">
              <w:rPr>
                <w:rFonts w:eastAsia="宋体"/>
                <w:color w:val="000000"/>
                <w:sz w:val="22"/>
                <w:szCs w:val="22"/>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50,000,000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53,750,000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53,750,000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50,000,000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50,945,205 </w:t>
            </w:r>
          </w:p>
        </w:tc>
        <w:tc>
          <w:tcPr>
            <w:tcW w:w="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　</w:t>
            </w:r>
          </w:p>
        </w:tc>
        <w:tc>
          <w:tcPr>
            <w:tcW w:w="1329" w:type="dxa"/>
            <w:tcBorders>
              <w:top w:val="nil"/>
              <w:left w:val="nil"/>
              <w:bottom w:val="nil"/>
              <w:right w:val="nil"/>
            </w:tcBorders>
            <w:shd w:val="clear" w:color="000000" w:fill="DBEEF3"/>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50,945,205 </w:t>
            </w:r>
          </w:p>
        </w:tc>
      </w:tr>
      <w:tr w:rsidR="00AB32B7" w:rsidRPr="00AB32B7" w:rsidTr="00AB32B7">
        <w:trPr>
          <w:divId w:val="1081558984"/>
          <w:trHeight w:val="300"/>
          <w:jc w:val="center"/>
        </w:trPr>
        <w:tc>
          <w:tcPr>
            <w:tcW w:w="1215"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8"/>
                <w:szCs w:val="18"/>
                <w:lang w:eastAsia="zh-CN"/>
              </w:rPr>
            </w:pPr>
            <w:r w:rsidRPr="00AB32B7">
              <w:rPr>
                <w:rFonts w:eastAsia="宋体"/>
                <w:color w:val="000000"/>
                <w:sz w:val="18"/>
                <w:szCs w:val="18"/>
                <w:lang w:eastAsia="zh-CN"/>
              </w:rPr>
              <w:t>Diluted</w:t>
            </w:r>
          </w:p>
        </w:tc>
        <w:tc>
          <w:tcPr>
            <w:tcW w:w="30" w:type="dxa"/>
            <w:tcBorders>
              <w:top w:val="nil"/>
              <w:left w:val="nil"/>
              <w:bottom w:val="nil"/>
              <w:right w:val="nil"/>
            </w:tcBorders>
            <w:shd w:val="clear" w:color="auto" w:fill="auto"/>
            <w:noWrap/>
            <w:vAlign w:val="center"/>
            <w:hideMark/>
          </w:tcPr>
          <w:p w:rsidR="00AB32B7" w:rsidRPr="00AB32B7" w:rsidRDefault="00AB32B7" w:rsidP="00AB32B7">
            <w:pPr>
              <w:rPr>
                <w:rFonts w:eastAsia="宋体"/>
                <w:color w:val="000000"/>
                <w:sz w:val="22"/>
                <w:szCs w:val="22"/>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50,000,000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55,867,989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55,867,989 </w:t>
            </w:r>
          </w:p>
        </w:tc>
        <w:tc>
          <w:tcPr>
            <w:tcW w:w="329" w:type="dxa"/>
            <w:tcBorders>
              <w:top w:val="nil"/>
              <w:left w:val="nil"/>
              <w:bottom w:val="nil"/>
              <w:right w:val="nil"/>
            </w:tcBorders>
            <w:shd w:val="clear" w:color="auto" w:fill="auto"/>
            <w:vAlign w:val="bottom"/>
            <w:hideMark/>
          </w:tcPr>
          <w:p w:rsidR="00AB32B7" w:rsidRPr="00AB32B7" w:rsidRDefault="00AB32B7" w:rsidP="00AB32B7">
            <w:pPr>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50,000,000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52,225,718 </w:t>
            </w:r>
          </w:p>
        </w:tc>
        <w:tc>
          <w:tcPr>
            <w:tcW w:w="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p>
        </w:tc>
        <w:tc>
          <w:tcPr>
            <w:tcW w:w="1329" w:type="dxa"/>
            <w:tcBorders>
              <w:top w:val="nil"/>
              <w:left w:val="nil"/>
              <w:bottom w:val="nil"/>
              <w:right w:val="nil"/>
            </w:tcBorders>
            <w:shd w:val="clear" w:color="auto" w:fill="auto"/>
            <w:vAlign w:val="bottom"/>
            <w:hideMark/>
          </w:tcPr>
          <w:p w:rsidR="00AB32B7" w:rsidRPr="00AB32B7" w:rsidRDefault="00AB32B7" w:rsidP="00AB32B7">
            <w:pPr>
              <w:jc w:val="right"/>
              <w:rPr>
                <w:rFonts w:eastAsia="宋体"/>
                <w:color w:val="000000"/>
                <w:sz w:val="14"/>
                <w:szCs w:val="14"/>
                <w:lang w:eastAsia="zh-CN"/>
              </w:rPr>
            </w:pPr>
            <w:r w:rsidRPr="00AB32B7">
              <w:rPr>
                <w:rFonts w:eastAsia="宋体"/>
                <w:color w:val="000000"/>
                <w:sz w:val="14"/>
                <w:szCs w:val="14"/>
                <w:lang w:eastAsia="zh-CN"/>
              </w:rPr>
              <w:t xml:space="preserve">52,225,718 </w:t>
            </w:r>
          </w:p>
        </w:tc>
      </w:tr>
    </w:tbl>
    <w:p w:rsidR="00BD059B" w:rsidRDefault="00BD059B" w:rsidP="00BD059B">
      <w:pPr>
        <w:pStyle w:val="a3"/>
        <w:spacing w:before="0" w:beforeAutospacing="0" w:after="0" w:afterAutospacing="0"/>
        <w:jc w:val="both"/>
        <w:divId w:val="1081558984"/>
        <w:rPr>
          <w:lang w:eastAsia="zh-CN"/>
        </w:rPr>
      </w:pPr>
    </w:p>
    <w:p w:rsidR="00CF5EE4" w:rsidRPr="007339CF" w:rsidRDefault="00CF5EE4" w:rsidP="007339CF">
      <w:pPr>
        <w:pStyle w:val="a3"/>
        <w:spacing w:before="0" w:beforeAutospacing="0" w:after="0" w:afterAutospacing="0"/>
        <w:jc w:val="both"/>
        <w:divId w:val="1081558984"/>
        <w:rPr>
          <w:sz w:val="20"/>
          <w:szCs w:val="20"/>
          <w:lang w:eastAsia="zh-CN"/>
        </w:rPr>
      </w:pPr>
    </w:p>
    <w:sectPr w:rsidR="00CF5EE4" w:rsidRPr="007339CF" w:rsidSect="00DB45EC">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8B024" w15:done="0"/>
  <w15:commentEx w15:paraId="0945E674" w15:done="0"/>
  <w15:commentEx w15:paraId="7A5D5D0F" w15:done="0"/>
  <w15:commentEx w15:paraId="5E8F8088" w15:done="0"/>
  <w15:commentEx w15:paraId="13E800F7" w15:done="0"/>
  <w15:commentEx w15:paraId="62D5D6D6" w15:done="0"/>
  <w15:commentEx w15:paraId="7290E4ED" w15:done="0"/>
  <w15:commentEx w15:paraId="50CB25A2" w15:done="0"/>
  <w15:commentEx w15:paraId="28BA5DA9" w15:done="0"/>
  <w15:commentEx w15:paraId="1841043A" w15:done="0"/>
  <w15:commentEx w15:paraId="10A7E1C8" w15:done="0"/>
  <w15:commentEx w15:paraId="138D70C7" w15:done="0"/>
  <w15:commentEx w15:paraId="7C4000D5" w15:done="0"/>
  <w15:commentEx w15:paraId="342C41D5" w15:done="0"/>
  <w15:commentEx w15:paraId="3B28864C" w15:done="0"/>
  <w15:commentEx w15:paraId="04FA3222" w15:done="0"/>
  <w15:commentEx w15:paraId="7EE0630A" w15:done="0"/>
  <w15:commentEx w15:paraId="7240B512" w15:done="0"/>
  <w15:commentEx w15:paraId="20E6636B" w15:done="0"/>
  <w15:commentEx w15:paraId="4180CDF2" w15:done="0"/>
  <w15:commentEx w15:paraId="62A9BD71" w15:done="0"/>
  <w15:commentEx w15:paraId="4E21C8A4" w15:done="0"/>
  <w15:commentEx w15:paraId="0BCE5764" w15:done="0"/>
  <w15:commentEx w15:paraId="314A36D2" w15:done="0"/>
  <w15:commentEx w15:paraId="3C75895C" w15:done="0"/>
  <w15:commentEx w15:paraId="0E14E089" w15:done="0"/>
  <w15:commentEx w15:paraId="5B5D2F9D" w15:done="0"/>
  <w15:commentEx w15:paraId="034D4CB5" w15:done="0"/>
  <w15:commentEx w15:paraId="1E4D06B0" w15:done="0"/>
  <w15:commentEx w15:paraId="059628B5" w15:done="0"/>
  <w15:commentEx w15:paraId="16490435" w15:done="0"/>
  <w15:commentEx w15:paraId="130D0F88" w15:done="0"/>
  <w15:commentEx w15:paraId="37B155D4" w15:done="0"/>
  <w15:commentEx w15:paraId="0467DF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C1E" w:rsidRDefault="00847C1E"/>
  </w:endnote>
  <w:endnote w:type="continuationSeparator" w:id="1">
    <w:p w:rsidR="00847C1E" w:rsidRDefault="00847C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F9" w:rsidRPr="00BD7EAF" w:rsidRDefault="004C78F9" w:rsidP="00BD7EAF">
    <w:pPr>
      <w:pStyle w:val="a3"/>
      <w:spacing w:before="0" w:beforeAutospacing="0" w:after="0" w:afterAutospacing="0"/>
      <w:rPr>
        <w:sz w:val="20"/>
        <w:szCs w:val="20"/>
      </w:rPr>
    </w:pPr>
    <w:r w:rsidRPr="00390C09">
      <w:rPr>
        <w:sz w:val="16"/>
        <w:szCs w:val="16"/>
        <w:vertAlign w:val="superscript"/>
      </w:rPr>
      <w:t>1</w:t>
    </w:r>
    <w:r w:rsidRPr="00390C09">
      <w:rPr>
        <w:sz w:val="16"/>
        <w:szCs w:val="16"/>
      </w:rPr>
      <w:t>       </w:t>
    </w:r>
    <w:r>
      <w:rPr>
        <w:rFonts w:hint="eastAsia"/>
        <w:sz w:val="16"/>
        <w:szCs w:val="16"/>
        <w:lang w:eastAsia="zh-CN"/>
      </w:rPr>
      <w:t>Non-GAAP</w:t>
    </w:r>
    <w:r w:rsidRPr="00DE26F8">
      <w:rPr>
        <w:sz w:val="16"/>
        <w:szCs w:val="16"/>
      </w:rPr>
      <w:t xml:space="preserve"> net income excludes IPO</w:t>
    </w:r>
    <w:r>
      <w:rPr>
        <w:rFonts w:hint="eastAsia"/>
        <w:sz w:val="16"/>
        <w:szCs w:val="16"/>
        <w:lang w:eastAsia="zh-CN"/>
      </w:rPr>
      <w:t>-related</w:t>
    </w:r>
    <w:r w:rsidRPr="00DE26F8">
      <w:rPr>
        <w:sz w:val="16"/>
        <w:szCs w:val="16"/>
      </w:rPr>
      <w:t xml:space="preserve"> expenses, </w:t>
    </w:r>
    <w:r>
      <w:rPr>
        <w:sz w:val="16"/>
        <w:szCs w:val="16"/>
      </w:rPr>
      <w:t>one-off expenses</w:t>
    </w:r>
    <w:r>
      <w:rPr>
        <w:rFonts w:hint="eastAsia"/>
        <w:sz w:val="16"/>
        <w:szCs w:val="16"/>
        <w:lang w:eastAsia="zh-CN"/>
      </w:rPr>
      <w:t xml:space="preserve"> and </w:t>
    </w:r>
    <w:r w:rsidRPr="00DE26F8">
      <w:rPr>
        <w:sz w:val="16"/>
        <w:szCs w:val="16"/>
      </w:rPr>
      <w:t>share-based compensation</w:t>
    </w:r>
    <w:r>
      <w:rPr>
        <w:rFonts w:hint="eastAsia"/>
        <w:sz w:val="16"/>
        <w:szCs w:val="16"/>
        <w:lang w:eastAsia="zh-CN"/>
      </w:rPr>
      <w:t>,</w:t>
    </w:r>
    <w:r w:rsidRPr="00DE26F8">
      <w:rPr>
        <w:sz w:val="16"/>
        <w:szCs w:val="16"/>
      </w:rPr>
      <w:t xml:space="preserve"> from net income. For details on the calculation of and reconciliation to the nearest GAAP measures for each of </w:t>
    </w:r>
    <w:r>
      <w:rPr>
        <w:rFonts w:hint="eastAsia"/>
        <w:sz w:val="16"/>
        <w:szCs w:val="16"/>
        <w:lang w:eastAsia="zh-CN"/>
      </w:rPr>
      <w:t>non-GAAP</w:t>
    </w:r>
    <w:r w:rsidRPr="00DE26F8">
      <w:rPr>
        <w:sz w:val="16"/>
        <w:szCs w:val="16"/>
      </w:rPr>
      <w:t xml:space="preserve"> net income, see “About Non-GAAP Financial Measures” and “Reconciliatio</w:t>
    </w:r>
    <w:r>
      <w:rPr>
        <w:sz w:val="16"/>
        <w:szCs w:val="16"/>
      </w:rPr>
      <w:t>n of GAAP and Non-GAAP Results.</w:t>
    </w:r>
    <w:r w:rsidRPr="00390C09">
      <w:rPr>
        <w:sz w:val="16"/>
        <w:szCs w:val="16"/>
      </w:rPr>
      <w:t>”</w:t>
    </w:r>
  </w:p>
  <w:p w:rsidR="004C78F9" w:rsidRDefault="004C78F9">
    <w:pPr>
      <w:pStyle w:val="a5"/>
    </w:pPr>
    <w:r w:rsidRPr="00390C09">
      <w:rPr>
        <w:sz w:val="16"/>
        <w:szCs w:val="16"/>
      </w:rPr>
      <w:tab/>
      <w:t xml:space="preserve">2      </w:t>
    </w:r>
    <w:r w:rsidRPr="00DE26F8">
      <w:rPr>
        <w:sz w:val="16"/>
        <w:szCs w:val="16"/>
      </w:rPr>
      <w:t xml:space="preserve">Adjusted EBITDA excludes expenses relating to </w:t>
    </w:r>
    <w:r>
      <w:rPr>
        <w:rFonts w:hint="eastAsia"/>
        <w:sz w:val="16"/>
        <w:szCs w:val="16"/>
        <w:lang w:eastAsia="zh-CN"/>
      </w:rPr>
      <w:t>the Company</w:t>
    </w:r>
    <w:r>
      <w:rPr>
        <w:sz w:val="16"/>
        <w:szCs w:val="16"/>
        <w:lang w:eastAsia="zh-CN"/>
      </w:rPr>
      <w:t>’</w:t>
    </w:r>
    <w:r>
      <w:rPr>
        <w:rFonts w:hint="eastAsia"/>
        <w:sz w:val="16"/>
        <w:szCs w:val="16"/>
        <w:lang w:eastAsia="zh-CN"/>
      </w:rPr>
      <w:t>s</w:t>
    </w:r>
    <w:r w:rsidRPr="00DE26F8">
      <w:rPr>
        <w:sz w:val="16"/>
        <w:szCs w:val="16"/>
      </w:rPr>
      <w:t xml:space="preserve"> IPO</w:t>
    </w:r>
    <w:r>
      <w:rPr>
        <w:rFonts w:hint="eastAsia"/>
        <w:sz w:val="16"/>
        <w:szCs w:val="16"/>
        <w:lang w:eastAsia="zh-CN"/>
      </w:rPr>
      <w:t xml:space="preserve"> related expenses</w:t>
    </w:r>
    <w:r w:rsidRPr="00DE26F8">
      <w:rPr>
        <w:sz w:val="16"/>
        <w:szCs w:val="16"/>
      </w:rPr>
      <w:t xml:space="preserve">, one-off expenses </w:t>
    </w:r>
    <w:r>
      <w:rPr>
        <w:rFonts w:hint="eastAsia"/>
        <w:sz w:val="16"/>
        <w:szCs w:val="16"/>
        <w:lang w:eastAsia="zh-CN"/>
      </w:rPr>
      <w:t xml:space="preserve">and </w:t>
    </w:r>
    <w:r w:rsidRPr="00DE26F8">
      <w:rPr>
        <w:sz w:val="16"/>
        <w:szCs w:val="16"/>
      </w:rPr>
      <w:t>share-based compensation,</w:t>
    </w:r>
    <w:r>
      <w:rPr>
        <w:rFonts w:hint="eastAsia"/>
        <w:sz w:val="16"/>
        <w:szCs w:val="16"/>
        <w:lang w:eastAsia="zh-CN"/>
      </w:rPr>
      <w:t xml:space="preserve"> </w:t>
    </w:r>
    <w:r w:rsidRPr="00DE26F8">
      <w:rPr>
        <w:sz w:val="16"/>
        <w:szCs w:val="16"/>
      </w:rPr>
      <w:t>from EBITDA. For details on the calculation of and reconciliation to the nearest GAAP measures for adjusted EBITDA, see “About Non-GAAP Financial Measures” and “Reconciliation of GAAP a</w:t>
    </w:r>
    <w:r>
      <w:rPr>
        <w:sz w:val="16"/>
        <w:szCs w:val="16"/>
      </w:rPr>
      <w:t>nd Non-GAAP Results.</w:t>
    </w:r>
    <w:r w:rsidRPr="00390C09">
      <w:rPr>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F9" w:rsidRDefault="004C78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C1E" w:rsidRDefault="00847C1E"/>
  </w:footnote>
  <w:footnote w:type="continuationSeparator" w:id="1">
    <w:p w:rsidR="00847C1E" w:rsidRDefault="00847C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082E"/>
    <w:multiLevelType w:val="hybridMultilevel"/>
    <w:tmpl w:val="DDF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7612E"/>
    <w:multiLevelType w:val="hybridMultilevel"/>
    <w:tmpl w:val="F23C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42523"/>
    <w:multiLevelType w:val="hybridMultilevel"/>
    <w:tmpl w:val="D3FE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0C236B"/>
    <w:multiLevelType w:val="hybridMultilevel"/>
    <w:tmpl w:val="E422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C2194"/>
    <w:multiLevelType w:val="hybridMultilevel"/>
    <w:tmpl w:val="C0B0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3478F"/>
    <w:multiLevelType w:val="hybridMultilevel"/>
    <w:tmpl w:val="185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ry ZY Gao">
    <w15:presenceInfo w15:providerId="AD" w15:userId="S-1-5-21-3190493677-272540594-4000629471-488211"/>
  </w15:person>
  <w15:person w15:author="Lampard Zhong">
    <w15:presenceInfo w15:providerId="AD" w15:userId="S-1-5-21-3190493677-272540594-4000629471-295133"/>
  </w15:person>
  <w15:person w15:author="King Li">
    <w15:presenceInfo w15:providerId="AD" w15:userId="S-1-5-21-3190493677-272540594-4000629471-2253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720"/>
  <w:noPunctuationKerning/>
  <w:characterSpacingControl w:val="doNotCompress"/>
  <w:hdrShapeDefaults>
    <o:shapedefaults v:ext="edit" spidmax="55298"/>
  </w:hdrShapeDefaults>
  <w:footnotePr>
    <w:footnote w:id="0"/>
    <w:footnote w:id="1"/>
  </w:footnotePr>
  <w:endnotePr>
    <w:endnote w:id="0"/>
    <w:endnote w:id="1"/>
  </w:endnotePr>
  <w:compat>
    <w:useFELayout/>
  </w:compat>
  <w:docVars>
    <w:docVar w:name="APWAFVersion" w:val="5.0"/>
  </w:docVars>
  <w:rsids>
    <w:rsidRoot w:val="000D65C3"/>
    <w:rsid w:val="00000E06"/>
    <w:rsid w:val="00002FF1"/>
    <w:rsid w:val="000063A8"/>
    <w:rsid w:val="00016191"/>
    <w:rsid w:val="000204F7"/>
    <w:rsid w:val="000226E8"/>
    <w:rsid w:val="000417AC"/>
    <w:rsid w:val="0004271C"/>
    <w:rsid w:val="00046C0E"/>
    <w:rsid w:val="00053587"/>
    <w:rsid w:val="00065A1A"/>
    <w:rsid w:val="000A725E"/>
    <w:rsid w:val="000B4564"/>
    <w:rsid w:val="000B703F"/>
    <w:rsid w:val="000C36B4"/>
    <w:rsid w:val="000C3C29"/>
    <w:rsid w:val="000C64FD"/>
    <w:rsid w:val="000D2E07"/>
    <w:rsid w:val="000D6231"/>
    <w:rsid w:val="000D65C3"/>
    <w:rsid w:val="000E053E"/>
    <w:rsid w:val="000E1E6E"/>
    <w:rsid w:val="000E238F"/>
    <w:rsid w:val="000E3CB8"/>
    <w:rsid w:val="000E3FE5"/>
    <w:rsid w:val="000E7C00"/>
    <w:rsid w:val="000E7C18"/>
    <w:rsid w:val="00100613"/>
    <w:rsid w:val="00121BEA"/>
    <w:rsid w:val="001301A4"/>
    <w:rsid w:val="00132235"/>
    <w:rsid w:val="0014139F"/>
    <w:rsid w:val="00145349"/>
    <w:rsid w:val="001543D3"/>
    <w:rsid w:val="001561F2"/>
    <w:rsid w:val="001564C5"/>
    <w:rsid w:val="00156BDF"/>
    <w:rsid w:val="0015721A"/>
    <w:rsid w:val="00161A73"/>
    <w:rsid w:val="001736D6"/>
    <w:rsid w:val="001742BE"/>
    <w:rsid w:val="001820AB"/>
    <w:rsid w:val="00184394"/>
    <w:rsid w:val="001911FF"/>
    <w:rsid w:val="001B492B"/>
    <w:rsid w:val="001B7189"/>
    <w:rsid w:val="001C0903"/>
    <w:rsid w:val="001C1CCD"/>
    <w:rsid w:val="001C5BE4"/>
    <w:rsid w:val="001F1490"/>
    <w:rsid w:val="001F5DAC"/>
    <w:rsid w:val="002009E8"/>
    <w:rsid w:val="00206A68"/>
    <w:rsid w:val="00227D3B"/>
    <w:rsid w:val="00232E7B"/>
    <w:rsid w:val="00236931"/>
    <w:rsid w:val="002372CB"/>
    <w:rsid w:val="00251179"/>
    <w:rsid w:val="00251613"/>
    <w:rsid w:val="00251887"/>
    <w:rsid w:val="00263256"/>
    <w:rsid w:val="00286457"/>
    <w:rsid w:val="0029149D"/>
    <w:rsid w:val="002A5733"/>
    <w:rsid w:val="002A5FE1"/>
    <w:rsid w:val="002B3C73"/>
    <w:rsid w:val="002C1678"/>
    <w:rsid w:val="002C3DA8"/>
    <w:rsid w:val="002D6287"/>
    <w:rsid w:val="002D7B2A"/>
    <w:rsid w:val="002E4982"/>
    <w:rsid w:val="003022C8"/>
    <w:rsid w:val="00311728"/>
    <w:rsid w:val="003148CB"/>
    <w:rsid w:val="00315A91"/>
    <w:rsid w:val="00315DDC"/>
    <w:rsid w:val="00315ED7"/>
    <w:rsid w:val="003308EF"/>
    <w:rsid w:val="00332A5F"/>
    <w:rsid w:val="00344DBA"/>
    <w:rsid w:val="00353CD2"/>
    <w:rsid w:val="00354E6C"/>
    <w:rsid w:val="003820E2"/>
    <w:rsid w:val="00390C09"/>
    <w:rsid w:val="00397687"/>
    <w:rsid w:val="003A0A68"/>
    <w:rsid w:val="003A3277"/>
    <w:rsid w:val="003A589D"/>
    <w:rsid w:val="003B450A"/>
    <w:rsid w:val="003C4053"/>
    <w:rsid w:val="003D2D88"/>
    <w:rsid w:val="003E247C"/>
    <w:rsid w:val="003E3AC0"/>
    <w:rsid w:val="00402DD0"/>
    <w:rsid w:val="0041570D"/>
    <w:rsid w:val="004210AC"/>
    <w:rsid w:val="00427852"/>
    <w:rsid w:val="00430C3F"/>
    <w:rsid w:val="00431178"/>
    <w:rsid w:val="0047065D"/>
    <w:rsid w:val="004814EC"/>
    <w:rsid w:val="004A17CB"/>
    <w:rsid w:val="004B47A0"/>
    <w:rsid w:val="004B70DB"/>
    <w:rsid w:val="004C304C"/>
    <w:rsid w:val="004C39DA"/>
    <w:rsid w:val="004C78F9"/>
    <w:rsid w:val="004D0929"/>
    <w:rsid w:val="004E17E1"/>
    <w:rsid w:val="005005D3"/>
    <w:rsid w:val="00500C56"/>
    <w:rsid w:val="00501D09"/>
    <w:rsid w:val="00502179"/>
    <w:rsid w:val="00506D17"/>
    <w:rsid w:val="00510BCD"/>
    <w:rsid w:val="00526DF8"/>
    <w:rsid w:val="00526F76"/>
    <w:rsid w:val="00543361"/>
    <w:rsid w:val="005447B9"/>
    <w:rsid w:val="00547270"/>
    <w:rsid w:val="005548D9"/>
    <w:rsid w:val="00586E0C"/>
    <w:rsid w:val="005907C4"/>
    <w:rsid w:val="00592C21"/>
    <w:rsid w:val="005951E6"/>
    <w:rsid w:val="00597100"/>
    <w:rsid w:val="005C565B"/>
    <w:rsid w:val="005D17E1"/>
    <w:rsid w:val="005E0A61"/>
    <w:rsid w:val="005F50DB"/>
    <w:rsid w:val="005F791F"/>
    <w:rsid w:val="005F7AE4"/>
    <w:rsid w:val="00600404"/>
    <w:rsid w:val="00605958"/>
    <w:rsid w:val="00606CFE"/>
    <w:rsid w:val="00612593"/>
    <w:rsid w:val="00631F0A"/>
    <w:rsid w:val="00635402"/>
    <w:rsid w:val="006938D6"/>
    <w:rsid w:val="006A65BE"/>
    <w:rsid w:val="006B4461"/>
    <w:rsid w:val="006B60B7"/>
    <w:rsid w:val="006C7C58"/>
    <w:rsid w:val="006E0CBD"/>
    <w:rsid w:val="006E340D"/>
    <w:rsid w:val="006F1DD9"/>
    <w:rsid w:val="006F5B72"/>
    <w:rsid w:val="006F6D32"/>
    <w:rsid w:val="00701502"/>
    <w:rsid w:val="007142FB"/>
    <w:rsid w:val="00715794"/>
    <w:rsid w:val="00720F6B"/>
    <w:rsid w:val="007339CF"/>
    <w:rsid w:val="007568C9"/>
    <w:rsid w:val="00761E8E"/>
    <w:rsid w:val="00762BBA"/>
    <w:rsid w:val="00766108"/>
    <w:rsid w:val="0076707F"/>
    <w:rsid w:val="00767094"/>
    <w:rsid w:val="007704B2"/>
    <w:rsid w:val="007818BE"/>
    <w:rsid w:val="007A7584"/>
    <w:rsid w:val="007B1EAD"/>
    <w:rsid w:val="007C0121"/>
    <w:rsid w:val="007E7EB5"/>
    <w:rsid w:val="008015AF"/>
    <w:rsid w:val="008066E8"/>
    <w:rsid w:val="00806C19"/>
    <w:rsid w:val="00810A49"/>
    <w:rsid w:val="008116AE"/>
    <w:rsid w:val="00811768"/>
    <w:rsid w:val="00824597"/>
    <w:rsid w:val="0082491F"/>
    <w:rsid w:val="00833302"/>
    <w:rsid w:val="00837EE7"/>
    <w:rsid w:val="0084078A"/>
    <w:rsid w:val="00840820"/>
    <w:rsid w:val="00847C1E"/>
    <w:rsid w:val="00851D7B"/>
    <w:rsid w:val="00860CF6"/>
    <w:rsid w:val="008612AD"/>
    <w:rsid w:val="00866CA8"/>
    <w:rsid w:val="0086718B"/>
    <w:rsid w:val="008674F4"/>
    <w:rsid w:val="008700FF"/>
    <w:rsid w:val="00873EE8"/>
    <w:rsid w:val="008821FC"/>
    <w:rsid w:val="008941B6"/>
    <w:rsid w:val="008A2485"/>
    <w:rsid w:val="008A2CFE"/>
    <w:rsid w:val="008B16A3"/>
    <w:rsid w:val="008D2774"/>
    <w:rsid w:val="008F1063"/>
    <w:rsid w:val="008F18CC"/>
    <w:rsid w:val="008F5E4B"/>
    <w:rsid w:val="00900093"/>
    <w:rsid w:val="009016FE"/>
    <w:rsid w:val="0091572A"/>
    <w:rsid w:val="00920CA6"/>
    <w:rsid w:val="009354FF"/>
    <w:rsid w:val="00937B73"/>
    <w:rsid w:val="00965F19"/>
    <w:rsid w:val="0099056C"/>
    <w:rsid w:val="00993096"/>
    <w:rsid w:val="009979E6"/>
    <w:rsid w:val="009A7115"/>
    <w:rsid w:val="009B3E82"/>
    <w:rsid w:val="009B5770"/>
    <w:rsid w:val="009D460B"/>
    <w:rsid w:val="009F0CE1"/>
    <w:rsid w:val="009F63AC"/>
    <w:rsid w:val="00A0796B"/>
    <w:rsid w:val="00A31987"/>
    <w:rsid w:val="00A4253C"/>
    <w:rsid w:val="00A47A5A"/>
    <w:rsid w:val="00A579BF"/>
    <w:rsid w:val="00A678BB"/>
    <w:rsid w:val="00AA6815"/>
    <w:rsid w:val="00AB3033"/>
    <w:rsid w:val="00AB32B7"/>
    <w:rsid w:val="00AB5DDB"/>
    <w:rsid w:val="00AB6EFA"/>
    <w:rsid w:val="00AC1273"/>
    <w:rsid w:val="00AC397C"/>
    <w:rsid w:val="00AC6F5F"/>
    <w:rsid w:val="00AD4F74"/>
    <w:rsid w:val="00AD6C1B"/>
    <w:rsid w:val="00AD79C3"/>
    <w:rsid w:val="00B07440"/>
    <w:rsid w:val="00B13445"/>
    <w:rsid w:val="00B137CA"/>
    <w:rsid w:val="00B14754"/>
    <w:rsid w:val="00B24348"/>
    <w:rsid w:val="00B30F08"/>
    <w:rsid w:val="00B31FF8"/>
    <w:rsid w:val="00B5124D"/>
    <w:rsid w:val="00B5188B"/>
    <w:rsid w:val="00B53177"/>
    <w:rsid w:val="00B56F08"/>
    <w:rsid w:val="00B636FA"/>
    <w:rsid w:val="00B72C9C"/>
    <w:rsid w:val="00B72D2C"/>
    <w:rsid w:val="00B77FC8"/>
    <w:rsid w:val="00B96928"/>
    <w:rsid w:val="00BA2B14"/>
    <w:rsid w:val="00BA68A2"/>
    <w:rsid w:val="00BB6879"/>
    <w:rsid w:val="00BB7657"/>
    <w:rsid w:val="00BC0513"/>
    <w:rsid w:val="00BC481B"/>
    <w:rsid w:val="00BC5874"/>
    <w:rsid w:val="00BC7220"/>
    <w:rsid w:val="00BD059B"/>
    <w:rsid w:val="00BD7EAF"/>
    <w:rsid w:val="00BE54CB"/>
    <w:rsid w:val="00BF695A"/>
    <w:rsid w:val="00C05BA6"/>
    <w:rsid w:val="00C0617C"/>
    <w:rsid w:val="00C14104"/>
    <w:rsid w:val="00C1671E"/>
    <w:rsid w:val="00C31F3A"/>
    <w:rsid w:val="00C422A1"/>
    <w:rsid w:val="00C57155"/>
    <w:rsid w:val="00C57D12"/>
    <w:rsid w:val="00C61333"/>
    <w:rsid w:val="00C80003"/>
    <w:rsid w:val="00C8543B"/>
    <w:rsid w:val="00C90F4A"/>
    <w:rsid w:val="00C91BF4"/>
    <w:rsid w:val="00C966C5"/>
    <w:rsid w:val="00CE5BDE"/>
    <w:rsid w:val="00CF5EE4"/>
    <w:rsid w:val="00CF6C3D"/>
    <w:rsid w:val="00CF77D1"/>
    <w:rsid w:val="00D02173"/>
    <w:rsid w:val="00D10D5D"/>
    <w:rsid w:val="00D16672"/>
    <w:rsid w:val="00D17923"/>
    <w:rsid w:val="00D1793A"/>
    <w:rsid w:val="00D25668"/>
    <w:rsid w:val="00D25D7B"/>
    <w:rsid w:val="00D32FE3"/>
    <w:rsid w:val="00D341C0"/>
    <w:rsid w:val="00D363CE"/>
    <w:rsid w:val="00D4484E"/>
    <w:rsid w:val="00D53643"/>
    <w:rsid w:val="00D567ED"/>
    <w:rsid w:val="00D606B4"/>
    <w:rsid w:val="00D60A47"/>
    <w:rsid w:val="00D65E79"/>
    <w:rsid w:val="00D7106C"/>
    <w:rsid w:val="00D82812"/>
    <w:rsid w:val="00D911CB"/>
    <w:rsid w:val="00D950B0"/>
    <w:rsid w:val="00DB45EC"/>
    <w:rsid w:val="00DC48B4"/>
    <w:rsid w:val="00DD2817"/>
    <w:rsid w:val="00DE1480"/>
    <w:rsid w:val="00DE26F8"/>
    <w:rsid w:val="00DE3907"/>
    <w:rsid w:val="00DE7C0B"/>
    <w:rsid w:val="00E1178B"/>
    <w:rsid w:val="00E1190E"/>
    <w:rsid w:val="00E1212A"/>
    <w:rsid w:val="00E25ED9"/>
    <w:rsid w:val="00E333FC"/>
    <w:rsid w:val="00E429D1"/>
    <w:rsid w:val="00E4611E"/>
    <w:rsid w:val="00E615A8"/>
    <w:rsid w:val="00E633E7"/>
    <w:rsid w:val="00E63E99"/>
    <w:rsid w:val="00E64EFB"/>
    <w:rsid w:val="00E82F1B"/>
    <w:rsid w:val="00E93C63"/>
    <w:rsid w:val="00E95EC2"/>
    <w:rsid w:val="00EB2EC5"/>
    <w:rsid w:val="00EB5734"/>
    <w:rsid w:val="00EC60DE"/>
    <w:rsid w:val="00EC6A88"/>
    <w:rsid w:val="00ED08FF"/>
    <w:rsid w:val="00ED1984"/>
    <w:rsid w:val="00ED2041"/>
    <w:rsid w:val="00ED7821"/>
    <w:rsid w:val="00ED78C2"/>
    <w:rsid w:val="00EE0592"/>
    <w:rsid w:val="00EE6986"/>
    <w:rsid w:val="00EF2A49"/>
    <w:rsid w:val="00EF486C"/>
    <w:rsid w:val="00F020C0"/>
    <w:rsid w:val="00F03730"/>
    <w:rsid w:val="00F16F97"/>
    <w:rsid w:val="00F203F6"/>
    <w:rsid w:val="00F22284"/>
    <w:rsid w:val="00F24CA7"/>
    <w:rsid w:val="00F25628"/>
    <w:rsid w:val="00F26043"/>
    <w:rsid w:val="00F4268B"/>
    <w:rsid w:val="00F518C1"/>
    <w:rsid w:val="00F61D18"/>
    <w:rsid w:val="00F65934"/>
    <w:rsid w:val="00F815DC"/>
    <w:rsid w:val="00F84F0B"/>
    <w:rsid w:val="00F86F72"/>
    <w:rsid w:val="00F876CB"/>
    <w:rsid w:val="00F92701"/>
    <w:rsid w:val="00F971D0"/>
    <w:rsid w:val="00FB2F06"/>
    <w:rsid w:val="00FB321D"/>
    <w:rsid w:val="00FB3BA3"/>
    <w:rsid w:val="00FE6CDB"/>
    <w:rsid w:val="00FE7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B2F06"/>
    <w:pPr>
      <w:spacing w:before="100" w:beforeAutospacing="1" w:after="100" w:afterAutospacing="1"/>
    </w:pPr>
  </w:style>
  <w:style w:type="paragraph" w:styleId="a3">
    <w:name w:val="Normal (Web)"/>
    <w:basedOn w:val="a"/>
    <w:uiPriority w:val="99"/>
    <w:unhideWhenUsed/>
    <w:rsid w:val="00FB2F06"/>
    <w:pPr>
      <w:spacing w:before="100" w:beforeAutospacing="1" w:after="100" w:afterAutospacing="1"/>
    </w:pPr>
  </w:style>
  <w:style w:type="paragraph" w:styleId="a4">
    <w:name w:val="header"/>
    <w:basedOn w:val="a"/>
    <w:link w:val="Char"/>
    <w:uiPriority w:val="99"/>
    <w:unhideWhenUsed/>
    <w:rsid w:val="009F63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63AC"/>
    <w:rPr>
      <w:sz w:val="18"/>
      <w:szCs w:val="18"/>
    </w:rPr>
  </w:style>
  <w:style w:type="paragraph" w:styleId="a5">
    <w:name w:val="footer"/>
    <w:basedOn w:val="a"/>
    <w:link w:val="Char0"/>
    <w:uiPriority w:val="99"/>
    <w:unhideWhenUsed/>
    <w:rsid w:val="009F63AC"/>
    <w:pPr>
      <w:tabs>
        <w:tab w:val="center" w:pos="4153"/>
        <w:tab w:val="right" w:pos="8306"/>
      </w:tabs>
      <w:snapToGrid w:val="0"/>
    </w:pPr>
    <w:rPr>
      <w:sz w:val="18"/>
      <w:szCs w:val="18"/>
    </w:rPr>
  </w:style>
  <w:style w:type="character" w:customStyle="1" w:styleId="Char0">
    <w:name w:val="页脚 Char"/>
    <w:basedOn w:val="a0"/>
    <w:link w:val="a5"/>
    <w:uiPriority w:val="99"/>
    <w:rsid w:val="009F63AC"/>
    <w:rPr>
      <w:sz w:val="18"/>
      <w:szCs w:val="18"/>
    </w:rPr>
  </w:style>
  <w:style w:type="paragraph" w:styleId="a6">
    <w:name w:val="Balloon Text"/>
    <w:basedOn w:val="a"/>
    <w:link w:val="Char1"/>
    <w:uiPriority w:val="99"/>
    <w:semiHidden/>
    <w:unhideWhenUsed/>
    <w:rsid w:val="009F63AC"/>
    <w:rPr>
      <w:sz w:val="18"/>
      <w:szCs w:val="18"/>
    </w:rPr>
  </w:style>
  <w:style w:type="character" w:customStyle="1" w:styleId="Char1">
    <w:name w:val="批注框文本 Char"/>
    <w:basedOn w:val="a0"/>
    <w:link w:val="a6"/>
    <w:uiPriority w:val="99"/>
    <w:semiHidden/>
    <w:rsid w:val="009F63AC"/>
    <w:rPr>
      <w:sz w:val="18"/>
      <w:szCs w:val="18"/>
    </w:rPr>
  </w:style>
  <w:style w:type="character" w:styleId="a7">
    <w:name w:val="Hyperlink"/>
    <w:basedOn w:val="a0"/>
    <w:uiPriority w:val="99"/>
    <w:unhideWhenUsed/>
    <w:rsid w:val="001736D6"/>
    <w:rPr>
      <w:color w:val="0563C1" w:themeColor="hyperlink"/>
      <w:u w:val="single"/>
    </w:rPr>
  </w:style>
  <w:style w:type="character" w:styleId="a8">
    <w:name w:val="annotation reference"/>
    <w:basedOn w:val="a0"/>
    <w:uiPriority w:val="99"/>
    <w:semiHidden/>
    <w:unhideWhenUsed/>
    <w:rsid w:val="00FB321D"/>
    <w:rPr>
      <w:sz w:val="16"/>
      <w:szCs w:val="16"/>
    </w:rPr>
  </w:style>
  <w:style w:type="paragraph" w:styleId="a9">
    <w:name w:val="annotation text"/>
    <w:basedOn w:val="a"/>
    <w:link w:val="Char2"/>
    <w:uiPriority w:val="99"/>
    <w:semiHidden/>
    <w:unhideWhenUsed/>
    <w:rsid w:val="00FB321D"/>
    <w:rPr>
      <w:sz w:val="20"/>
      <w:szCs w:val="20"/>
    </w:rPr>
  </w:style>
  <w:style w:type="character" w:customStyle="1" w:styleId="Char2">
    <w:name w:val="批注文字 Char"/>
    <w:basedOn w:val="a0"/>
    <w:link w:val="a9"/>
    <w:uiPriority w:val="99"/>
    <w:semiHidden/>
    <w:rsid w:val="00FB321D"/>
  </w:style>
  <w:style w:type="paragraph" w:styleId="aa">
    <w:name w:val="annotation subject"/>
    <w:basedOn w:val="a9"/>
    <w:next w:val="a9"/>
    <w:link w:val="Char3"/>
    <w:uiPriority w:val="99"/>
    <w:semiHidden/>
    <w:unhideWhenUsed/>
    <w:rsid w:val="00FB321D"/>
    <w:rPr>
      <w:b/>
      <w:bCs/>
    </w:rPr>
  </w:style>
  <w:style w:type="character" w:customStyle="1" w:styleId="Char3">
    <w:name w:val="批注主题 Char"/>
    <w:basedOn w:val="Char2"/>
    <w:link w:val="aa"/>
    <w:uiPriority w:val="99"/>
    <w:semiHidden/>
    <w:rsid w:val="00FB321D"/>
    <w:rPr>
      <w:b/>
      <w:bCs/>
    </w:rPr>
  </w:style>
  <w:style w:type="paragraph" w:styleId="ab">
    <w:name w:val="List Paragraph"/>
    <w:basedOn w:val="a"/>
    <w:uiPriority w:val="34"/>
    <w:qFormat/>
    <w:rsid w:val="00866CA8"/>
    <w:pPr>
      <w:ind w:left="720"/>
      <w:contextualSpacing/>
    </w:pPr>
  </w:style>
  <w:style w:type="paragraph" w:styleId="ac">
    <w:name w:val="Revision"/>
    <w:hidden/>
    <w:uiPriority w:val="99"/>
    <w:semiHidden/>
    <w:rsid w:val="00CF5EE4"/>
    <w:rPr>
      <w:sz w:val="24"/>
      <w:szCs w:val="24"/>
    </w:rPr>
  </w:style>
  <w:style w:type="character" w:styleId="ad">
    <w:name w:val="FollowedHyperlink"/>
    <w:basedOn w:val="a0"/>
    <w:uiPriority w:val="99"/>
    <w:semiHidden/>
    <w:unhideWhenUsed/>
    <w:rsid w:val="00AB32B7"/>
    <w:rPr>
      <w:color w:val="800080"/>
      <w:u w:val="single"/>
    </w:rPr>
  </w:style>
  <w:style w:type="paragraph" w:customStyle="1" w:styleId="font5">
    <w:name w:val="font5"/>
    <w:basedOn w:val="a"/>
    <w:rsid w:val="00AB32B7"/>
    <w:pPr>
      <w:spacing w:before="100" w:beforeAutospacing="1" w:after="100" w:afterAutospacing="1"/>
    </w:pPr>
    <w:rPr>
      <w:rFonts w:ascii="宋体" w:eastAsia="宋体" w:hAnsi="宋体" w:cs="宋体"/>
      <w:sz w:val="18"/>
      <w:szCs w:val="18"/>
      <w:lang w:eastAsia="zh-CN"/>
    </w:rPr>
  </w:style>
  <w:style w:type="paragraph" w:customStyle="1" w:styleId="font6">
    <w:name w:val="font6"/>
    <w:basedOn w:val="a"/>
    <w:rsid w:val="00AB32B7"/>
    <w:pPr>
      <w:spacing w:before="100" w:beforeAutospacing="1" w:after="100" w:afterAutospacing="1"/>
    </w:pPr>
    <w:rPr>
      <w:rFonts w:eastAsia="宋体"/>
      <w:color w:val="000000"/>
      <w:sz w:val="18"/>
      <w:szCs w:val="18"/>
      <w:lang w:eastAsia="zh-CN"/>
    </w:rPr>
  </w:style>
  <w:style w:type="paragraph" w:customStyle="1" w:styleId="font7">
    <w:name w:val="font7"/>
    <w:basedOn w:val="a"/>
    <w:rsid w:val="00AB32B7"/>
    <w:pPr>
      <w:spacing w:before="100" w:beforeAutospacing="1" w:after="100" w:afterAutospacing="1"/>
    </w:pPr>
    <w:rPr>
      <w:rFonts w:eastAsia="宋体"/>
      <w:b/>
      <w:bCs/>
      <w:color w:val="000000"/>
      <w:sz w:val="18"/>
      <w:szCs w:val="18"/>
      <w:lang w:eastAsia="zh-CN"/>
    </w:rPr>
  </w:style>
  <w:style w:type="paragraph" w:customStyle="1" w:styleId="xl98">
    <w:name w:val="xl98"/>
    <w:basedOn w:val="a"/>
    <w:rsid w:val="00AB32B7"/>
    <w:pPr>
      <w:spacing w:before="100" w:beforeAutospacing="1" w:after="100" w:afterAutospacing="1"/>
      <w:textAlignment w:val="bottom"/>
    </w:pPr>
    <w:rPr>
      <w:rFonts w:eastAsia="宋体"/>
      <w:color w:val="000000"/>
      <w:sz w:val="18"/>
      <w:szCs w:val="18"/>
      <w:lang w:eastAsia="zh-CN"/>
    </w:rPr>
  </w:style>
  <w:style w:type="paragraph" w:customStyle="1" w:styleId="xl99">
    <w:name w:val="xl99"/>
    <w:basedOn w:val="a"/>
    <w:rsid w:val="00AB32B7"/>
    <w:pPr>
      <w:spacing w:before="100" w:beforeAutospacing="1" w:after="100" w:afterAutospacing="1"/>
      <w:jc w:val="right"/>
      <w:textAlignment w:val="bottom"/>
    </w:pPr>
    <w:rPr>
      <w:rFonts w:eastAsia="宋体"/>
      <w:color w:val="000000"/>
      <w:sz w:val="18"/>
      <w:szCs w:val="18"/>
      <w:lang w:eastAsia="zh-CN"/>
    </w:rPr>
  </w:style>
  <w:style w:type="paragraph" w:customStyle="1" w:styleId="xl100">
    <w:name w:val="xl100"/>
    <w:basedOn w:val="a"/>
    <w:rsid w:val="00AB32B7"/>
    <w:pPr>
      <w:pBdr>
        <w:bottom w:val="single" w:sz="8" w:space="0" w:color="auto"/>
      </w:pBdr>
      <w:spacing w:before="100" w:beforeAutospacing="1" w:after="100" w:afterAutospacing="1"/>
      <w:jc w:val="right"/>
      <w:textAlignment w:val="bottom"/>
    </w:pPr>
    <w:rPr>
      <w:rFonts w:eastAsia="宋体"/>
      <w:color w:val="000000"/>
      <w:sz w:val="18"/>
      <w:szCs w:val="18"/>
      <w:lang w:eastAsia="zh-CN"/>
    </w:rPr>
  </w:style>
  <w:style w:type="paragraph" w:customStyle="1" w:styleId="xl101">
    <w:name w:val="xl101"/>
    <w:basedOn w:val="a"/>
    <w:rsid w:val="00AB32B7"/>
    <w:pPr>
      <w:spacing w:before="100" w:beforeAutospacing="1" w:after="100" w:afterAutospacing="1"/>
      <w:textAlignment w:val="bottom"/>
    </w:pPr>
    <w:rPr>
      <w:rFonts w:eastAsia="宋体"/>
      <w:b/>
      <w:bCs/>
      <w:color w:val="000000"/>
      <w:sz w:val="18"/>
      <w:szCs w:val="18"/>
      <w:lang w:eastAsia="zh-CN"/>
    </w:rPr>
  </w:style>
  <w:style w:type="paragraph" w:customStyle="1" w:styleId="xl102">
    <w:name w:val="xl102"/>
    <w:basedOn w:val="a"/>
    <w:rsid w:val="00AB32B7"/>
    <w:pPr>
      <w:pBdr>
        <w:bottom w:val="single" w:sz="8" w:space="0" w:color="000000"/>
      </w:pBdr>
      <w:spacing w:before="100" w:beforeAutospacing="1" w:after="100" w:afterAutospacing="1"/>
      <w:jc w:val="center"/>
      <w:textAlignment w:val="bottom"/>
    </w:pPr>
    <w:rPr>
      <w:rFonts w:eastAsia="宋体"/>
      <w:b/>
      <w:bCs/>
      <w:color w:val="000000"/>
      <w:sz w:val="18"/>
      <w:szCs w:val="18"/>
      <w:lang w:eastAsia="zh-CN"/>
    </w:rPr>
  </w:style>
  <w:style w:type="paragraph" w:customStyle="1" w:styleId="xl103">
    <w:name w:val="xl103"/>
    <w:basedOn w:val="a"/>
    <w:rsid w:val="00AB32B7"/>
    <w:pPr>
      <w:spacing w:before="100" w:beforeAutospacing="1" w:after="100" w:afterAutospacing="1"/>
      <w:jc w:val="right"/>
      <w:textAlignment w:val="bottom"/>
    </w:pPr>
    <w:rPr>
      <w:rFonts w:eastAsia="宋体"/>
      <w:b/>
      <w:bCs/>
      <w:color w:val="000000"/>
      <w:sz w:val="18"/>
      <w:szCs w:val="18"/>
      <w:lang w:eastAsia="zh-CN"/>
    </w:rPr>
  </w:style>
  <w:style w:type="paragraph" w:customStyle="1" w:styleId="xl104">
    <w:name w:val="xl104"/>
    <w:basedOn w:val="a"/>
    <w:rsid w:val="00AB32B7"/>
    <w:pPr>
      <w:spacing w:before="100" w:beforeAutospacing="1" w:after="100" w:afterAutospacing="1"/>
      <w:ind w:firstLineChars="100" w:firstLine="100"/>
      <w:textAlignment w:val="bottom"/>
    </w:pPr>
    <w:rPr>
      <w:rFonts w:eastAsia="宋体"/>
      <w:color w:val="000000"/>
      <w:sz w:val="18"/>
      <w:szCs w:val="18"/>
      <w:lang w:eastAsia="zh-CN"/>
    </w:rPr>
  </w:style>
  <w:style w:type="paragraph" w:customStyle="1" w:styleId="xl105">
    <w:name w:val="xl105"/>
    <w:basedOn w:val="a"/>
    <w:rsid w:val="00AB32B7"/>
    <w:pPr>
      <w:spacing w:before="100" w:beforeAutospacing="1" w:after="100" w:afterAutospacing="1"/>
      <w:textAlignment w:val="bottom"/>
    </w:pPr>
    <w:rPr>
      <w:rFonts w:eastAsia="宋体"/>
      <w:color w:val="000000"/>
      <w:sz w:val="18"/>
      <w:szCs w:val="18"/>
      <w:lang w:eastAsia="zh-CN"/>
    </w:rPr>
  </w:style>
  <w:style w:type="paragraph" w:customStyle="1" w:styleId="xl106">
    <w:name w:val="xl106"/>
    <w:basedOn w:val="a"/>
    <w:rsid w:val="00AB32B7"/>
    <w:pPr>
      <w:spacing w:before="100" w:beforeAutospacing="1" w:after="100" w:afterAutospacing="1"/>
      <w:jc w:val="center"/>
    </w:pPr>
    <w:rPr>
      <w:rFonts w:eastAsia="宋体"/>
      <w:color w:val="000000"/>
      <w:sz w:val="20"/>
      <w:szCs w:val="20"/>
      <w:lang w:eastAsia="zh-CN"/>
    </w:rPr>
  </w:style>
  <w:style w:type="paragraph" w:customStyle="1" w:styleId="xl107">
    <w:name w:val="xl107"/>
    <w:basedOn w:val="a"/>
    <w:rsid w:val="00AB32B7"/>
    <w:pPr>
      <w:spacing w:before="100" w:beforeAutospacing="1" w:after="100" w:afterAutospacing="1"/>
      <w:textAlignment w:val="bottom"/>
    </w:pPr>
    <w:rPr>
      <w:rFonts w:eastAsia="宋体"/>
      <w:color w:val="000000"/>
      <w:sz w:val="18"/>
      <w:szCs w:val="18"/>
      <w:lang w:eastAsia="zh-CN"/>
    </w:rPr>
  </w:style>
  <w:style w:type="paragraph" w:customStyle="1" w:styleId="xl108">
    <w:name w:val="xl108"/>
    <w:basedOn w:val="a"/>
    <w:rsid w:val="00AB32B7"/>
    <w:pPr>
      <w:spacing w:before="100" w:beforeAutospacing="1" w:after="100" w:afterAutospacing="1"/>
      <w:textAlignment w:val="bottom"/>
    </w:pPr>
    <w:rPr>
      <w:rFonts w:eastAsia="宋体"/>
      <w:b/>
      <w:bCs/>
      <w:color w:val="000000"/>
      <w:sz w:val="18"/>
      <w:szCs w:val="18"/>
      <w:lang w:eastAsia="zh-CN"/>
    </w:rPr>
  </w:style>
  <w:style w:type="paragraph" w:customStyle="1" w:styleId="xl109">
    <w:name w:val="xl109"/>
    <w:basedOn w:val="a"/>
    <w:rsid w:val="00AB32B7"/>
    <w:pPr>
      <w:pBdr>
        <w:bottom w:val="single" w:sz="8" w:space="0" w:color="auto"/>
      </w:pBdr>
      <w:spacing w:before="100" w:beforeAutospacing="1" w:after="100" w:afterAutospacing="1"/>
      <w:jc w:val="center"/>
      <w:textAlignment w:val="bottom"/>
    </w:pPr>
    <w:rPr>
      <w:rFonts w:eastAsia="宋体"/>
      <w:b/>
      <w:bCs/>
      <w:color w:val="000000"/>
      <w:sz w:val="18"/>
      <w:szCs w:val="18"/>
      <w:lang w:eastAsia="zh-CN"/>
    </w:rPr>
  </w:style>
  <w:style w:type="paragraph" w:customStyle="1" w:styleId="xl110">
    <w:name w:val="xl110"/>
    <w:basedOn w:val="a"/>
    <w:rsid w:val="00AB32B7"/>
    <w:pPr>
      <w:spacing w:before="100" w:beforeAutospacing="1" w:after="100" w:afterAutospacing="1"/>
      <w:jc w:val="center"/>
      <w:textAlignment w:val="bottom"/>
    </w:pPr>
    <w:rPr>
      <w:rFonts w:eastAsia="宋体"/>
      <w:b/>
      <w:bCs/>
      <w:color w:val="000000"/>
      <w:sz w:val="18"/>
      <w:szCs w:val="18"/>
      <w:lang w:eastAsia="zh-CN"/>
    </w:rPr>
  </w:style>
  <w:style w:type="paragraph" w:customStyle="1" w:styleId="xl111">
    <w:name w:val="xl111"/>
    <w:basedOn w:val="a"/>
    <w:rsid w:val="00AB32B7"/>
    <w:pPr>
      <w:spacing w:before="100" w:beforeAutospacing="1" w:after="100" w:afterAutospacing="1"/>
      <w:textAlignment w:val="bottom"/>
    </w:pPr>
    <w:rPr>
      <w:rFonts w:eastAsia="宋体"/>
      <w:b/>
      <w:bCs/>
      <w:color w:val="000000"/>
      <w:sz w:val="18"/>
      <w:szCs w:val="18"/>
      <w:lang w:eastAsia="zh-CN"/>
    </w:rPr>
  </w:style>
  <w:style w:type="paragraph" w:customStyle="1" w:styleId="xl112">
    <w:name w:val="xl112"/>
    <w:basedOn w:val="a"/>
    <w:rsid w:val="00AB32B7"/>
    <w:pPr>
      <w:spacing w:before="100" w:beforeAutospacing="1" w:after="100" w:afterAutospacing="1"/>
      <w:jc w:val="right"/>
      <w:textAlignment w:val="bottom"/>
    </w:pPr>
    <w:rPr>
      <w:rFonts w:eastAsia="宋体"/>
      <w:color w:val="000000"/>
      <w:sz w:val="18"/>
      <w:szCs w:val="18"/>
      <w:lang w:eastAsia="zh-CN"/>
    </w:rPr>
  </w:style>
  <w:style w:type="paragraph" w:customStyle="1" w:styleId="xl113">
    <w:name w:val="xl113"/>
    <w:basedOn w:val="a"/>
    <w:rsid w:val="00AB32B7"/>
    <w:pPr>
      <w:spacing w:before="100" w:beforeAutospacing="1" w:after="100" w:afterAutospacing="1"/>
    </w:pPr>
    <w:rPr>
      <w:rFonts w:eastAsia="宋体"/>
      <w:lang w:eastAsia="zh-CN"/>
    </w:rPr>
  </w:style>
  <w:style w:type="paragraph" w:customStyle="1" w:styleId="xl114">
    <w:name w:val="xl114"/>
    <w:basedOn w:val="a"/>
    <w:rsid w:val="00AB32B7"/>
    <w:pPr>
      <w:spacing w:before="100" w:beforeAutospacing="1" w:after="100" w:afterAutospacing="1"/>
    </w:pPr>
    <w:rPr>
      <w:rFonts w:eastAsia="宋体"/>
      <w:lang w:eastAsia="zh-CN"/>
    </w:rPr>
  </w:style>
  <w:style w:type="paragraph" w:customStyle="1" w:styleId="xl115">
    <w:name w:val="xl115"/>
    <w:basedOn w:val="a"/>
    <w:rsid w:val="00AB32B7"/>
    <w:pPr>
      <w:spacing w:before="100" w:beforeAutospacing="1" w:after="100" w:afterAutospacing="1"/>
      <w:jc w:val="right"/>
      <w:textAlignment w:val="bottom"/>
    </w:pPr>
    <w:rPr>
      <w:rFonts w:eastAsia="宋体"/>
      <w:color w:val="000000"/>
      <w:sz w:val="18"/>
      <w:szCs w:val="18"/>
      <w:lang w:eastAsia="zh-CN"/>
    </w:rPr>
  </w:style>
  <w:style w:type="paragraph" w:customStyle="1" w:styleId="xl116">
    <w:name w:val="xl116"/>
    <w:basedOn w:val="a"/>
    <w:rsid w:val="00AB32B7"/>
    <w:pPr>
      <w:shd w:val="clear" w:color="000000" w:fill="DBEEF3"/>
      <w:spacing w:before="100" w:beforeAutospacing="1" w:after="100" w:afterAutospacing="1"/>
      <w:textAlignment w:val="bottom"/>
    </w:pPr>
    <w:rPr>
      <w:rFonts w:eastAsia="宋体"/>
      <w:color w:val="000000"/>
      <w:sz w:val="18"/>
      <w:szCs w:val="18"/>
      <w:lang w:eastAsia="zh-CN"/>
    </w:rPr>
  </w:style>
  <w:style w:type="paragraph" w:customStyle="1" w:styleId="xl117">
    <w:name w:val="xl117"/>
    <w:basedOn w:val="a"/>
    <w:rsid w:val="00AB32B7"/>
    <w:pPr>
      <w:shd w:val="clear" w:color="000000" w:fill="DBEEF3"/>
      <w:spacing w:before="100" w:beforeAutospacing="1" w:after="100" w:afterAutospacing="1"/>
      <w:jc w:val="right"/>
      <w:textAlignment w:val="bottom"/>
    </w:pPr>
    <w:rPr>
      <w:rFonts w:eastAsia="宋体"/>
      <w:color w:val="000000"/>
      <w:sz w:val="18"/>
      <w:szCs w:val="18"/>
      <w:lang w:eastAsia="zh-CN"/>
    </w:rPr>
  </w:style>
  <w:style w:type="paragraph" w:customStyle="1" w:styleId="xl118">
    <w:name w:val="xl118"/>
    <w:basedOn w:val="a"/>
    <w:rsid w:val="00AB32B7"/>
    <w:pPr>
      <w:shd w:val="clear" w:color="000000" w:fill="DBEEF3"/>
      <w:spacing w:before="100" w:beforeAutospacing="1" w:after="100" w:afterAutospacing="1"/>
      <w:jc w:val="right"/>
      <w:textAlignment w:val="bottom"/>
    </w:pPr>
    <w:rPr>
      <w:rFonts w:eastAsia="宋体"/>
      <w:color w:val="000000"/>
      <w:sz w:val="18"/>
      <w:szCs w:val="18"/>
      <w:lang w:eastAsia="zh-CN"/>
    </w:rPr>
  </w:style>
  <w:style w:type="paragraph" w:customStyle="1" w:styleId="xl119">
    <w:name w:val="xl119"/>
    <w:basedOn w:val="a"/>
    <w:rsid w:val="00AB32B7"/>
    <w:pPr>
      <w:shd w:val="clear" w:color="000000" w:fill="DBEEF3"/>
      <w:spacing w:before="100" w:beforeAutospacing="1" w:after="100" w:afterAutospacing="1"/>
      <w:textAlignment w:val="bottom"/>
    </w:pPr>
    <w:rPr>
      <w:rFonts w:eastAsia="宋体"/>
      <w:b/>
      <w:bCs/>
      <w:color w:val="000000"/>
      <w:sz w:val="18"/>
      <w:szCs w:val="18"/>
      <w:lang w:eastAsia="zh-CN"/>
    </w:rPr>
  </w:style>
  <w:style w:type="paragraph" w:customStyle="1" w:styleId="xl120">
    <w:name w:val="xl120"/>
    <w:basedOn w:val="a"/>
    <w:rsid w:val="00AB32B7"/>
    <w:pPr>
      <w:shd w:val="clear" w:color="000000" w:fill="DBEEF3"/>
      <w:spacing w:before="100" w:beforeAutospacing="1" w:after="100" w:afterAutospacing="1"/>
      <w:textAlignment w:val="bottom"/>
    </w:pPr>
    <w:rPr>
      <w:rFonts w:eastAsia="宋体"/>
      <w:b/>
      <w:bCs/>
      <w:color w:val="000000"/>
      <w:sz w:val="18"/>
      <w:szCs w:val="18"/>
      <w:lang w:eastAsia="zh-CN"/>
    </w:rPr>
  </w:style>
  <w:style w:type="paragraph" w:customStyle="1" w:styleId="xl121">
    <w:name w:val="xl121"/>
    <w:basedOn w:val="a"/>
    <w:rsid w:val="00AB32B7"/>
    <w:pPr>
      <w:shd w:val="clear" w:color="000000" w:fill="DBEEF3"/>
      <w:spacing w:before="100" w:beforeAutospacing="1" w:after="100" w:afterAutospacing="1"/>
      <w:ind w:firstLineChars="100" w:firstLine="100"/>
      <w:textAlignment w:val="bottom"/>
    </w:pPr>
    <w:rPr>
      <w:rFonts w:eastAsia="宋体"/>
      <w:color w:val="000000"/>
      <w:sz w:val="18"/>
      <w:szCs w:val="18"/>
      <w:lang w:eastAsia="zh-CN"/>
    </w:rPr>
  </w:style>
  <w:style w:type="paragraph" w:customStyle="1" w:styleId="xl122">
    <w:name w:val="xl122"/>
    <w:basedOn w:val="a"/>
    <w:rsid w:val="00AB32B7"/>
    <w:pPr>
      <w:shd w:val="clear" w:color="000000" w:fill="DBEEF3"/>
      <w:spacing w:before="100" w:beforeAutospacing="1" w:after="100" w:afterAutospacing="1"/>
      <w:textAlignment w:val="bottom"/>
    </w:pPr>
    <w:rPr>
      <w:rFonts w:eastAsia="宋体"/>
      <w:color w:val="000000"/>
      <w:sz w:val="18"/>
      <w:szCs w:val="18"/>
      <w:lang w:eastAsia="zh-CN"/>
    </w:rPr>
  </w:style>
  <w:style w:type="paragraph" w:customStyle="1" w:styleId="xl123">
    <w:name w:val="xl123"/>
    <w:basedOn w:val="a"/>
    <w:rsid w:val="00AB32B7"/>
    <w:pPr>
      <w:shd w:val="clear" w:color="000000" w:fill="DBEEF3"/>
      <w:spacing w:before="100" w:beforeAutospacing="1" w:after="100" w:afterAutospacing="1"/>
      <w:textAlignment w:val="bottom"/>
    </w:pPr>
    <w:rPr>
      <w:rFonts w:eastAsia="宋体"/>
      <w:color w:val="000000"/>
      <w:sz w:val="18"/>
      <w:szCs w:val="18"/>
      <w:lang w:eastAsia="zh-CN"/>
    </w:rPr>
  </w:style>
  <w:style w:type="paragraph" w:customStyle="1" w:styleId="xl124">
    <w:name w:val="xl124"/>
    <w:basedOn w:val="a"/>
    <w:rsid w:val="00AB32B7"/>
    <w:pPr>
      <w:shd w:val="clear" w:color="000000" w:fill="DBEEF3"/>
      <w:spacing w:before="100" w:beforeAutospacing="1" w:after="100" w:afterAutospacing="1"/>
      <w:textAlignment w:val="bottom"/>
    </w:pPr>
    <w:rPr>
      <w:rFonts w:eastAsia="宋体"/>
      <w:b/>
      <w:bCs/>
      <w:color w:val="000000"/>
      <w:sz w:val="18"/>
      <w:szCs w:val="18"/>
      <w:lang w:eastAsia="zh-CN"/>
    </w:rPr>
  </w:style>
  <w:style w:type="paragraph" w:customStyle="1" w:styleId="xl125">
    <w:name w:val="xl125"/>
    <w:basedOn w:val="a"/>
    <w:rsid w:val="00AB32B7"/>
    <w:pPr>
      <w:shd w:val="clear" w:color="000000" w:fill="DBEEF3"/>
      <w:spacing w:before="100" w:beforeAutospacing="1" w:after="100" w:afterAutospacing="1"/>
    </w:pPr>
    <w:rPr>
      <w:rFonts w:eastAsia="宋体"/>
      <w:lang w:eastAsia="zh-CN"/>
    </w:rPr>
  </w:style>
  <w:style w:type="paragraph" w:customStyle="1" w:styleId="xl126">
    <w:name w:val="xl126"/>
    <w:basedOn w:val="a"/>
    <w:rsid w:val="00AB32B7"/>
    <w:pPr>
      <w:shd w:val="clear" w:color="000000" w:fill="DBEEF3"/>
      <w:spacing w:before="100" w:beforeAutospacing="1" w:after="100" w:afterAutospacing="1"/>
      <w:jc w:val="center"/>
      <w:textAlignment w:val="bottom"/>
    </w:pPr>
    <w:rPr>
      <w:rFonts w:eastAsia="宋体"/>
      <w:b/>
      <w:bCs/>
      <w:color w:val="000000"/>
      <w:sz w:val="18"/>
      <w:szCs w:val="18"/>
      <w:lang w:eastAsia="zh-CN"/>
    </w:rPr>
  </w:style>
  <w:style w:type="paragraph" w:customStyle="1" w:styleId="xl127">
    <w:name w:val="xl127"/>
    <w:basedOn w:val="a"/>
    <w:rsid w:val="00AB32B7"/>
    <w:pPr>
      <w:pBdr>
        <w:top w:val="single" w:sz="8" w:space="0" w:color="000000"/>
      </w:pBdr>
      <w:shd w:val="clear" w:color="000000" w:fill="DBEEF3"/>
      <w:spacing w:before="100" w:beforeAutospacing="1" w:after="100" w:afterAutospacing="1"/>
      <w:jc w:val="center"/>
      <w:textAlignment w:val="bottom"/>
    </w:pPr>
    <w:rPr>
      <w:rFonts w:eastAsia="宋体"/>
      <w:b/>
      <w:bCs/>
      <w:color w:val="000000"/>
      <w:sz w:val="18"/>
      <w:szCs w:val="18"/>
      <w:lang w:eastAsia="zh-CN"/>
    </w:rPr>
  </w:style>
  <w:style w:type="paragraph" w:customStyle="1" w:styleId="xl128">
    <w:name w:val="xl128"/>
    <w:basedOn w:val="a"/>
    <w:rsid w:val="00AB32B7"/>
    <w:pPr>
      <w:shd w:val="clear" w:color="000000" w:fill="DBEEF3"/>
      <w:spacing w:before="100" w:beforeAutospacing="1" w:after="100" w:afterAutospacing="1"/>
      <w:jc w:val="right"/>
      <w:textAlignment w:val="bottom"/>
    </w:pPr>
    <w:rPr>
      <w:rFonts w:eastAsia="宋体"/>
      <w:color w:val="000000"/>
      <w:sz w:val="18"/>
      <w:szCs w:val="18"/>
      <w:lang w:eastAsia="zh-CN"/>
    </w:rPr>
  </w:style>
  <w:style w:type="paragraph" w:customStyle="1" w:styleId="xl129">
    <w:name w:val="xl129"/>
    <w:basedOn w:val="a"/>
    <w:rsid w:val="00AB32B7"/>
    <w:pPr>
      <w:pBdr>
        <w:top w:val="single" w:sz="8" w:space="0" w:color="auto"/>
        <w:bottom w:val="double" w:sz="6" w:space="0" w:color="auto"/>
      </w:pBdr>
      <w:shd w:val="clear" w:color="000000" w:fill="DBEEF3"/>
      <w:spacing w:before="100" w:beforeAutospacing="1" w:after="100" w:afterAutospacing="1"/>
      <w:jc w:val="right"/>
      <w:textAlignment w:val="bottom"/>
    </w:pPr>
    <w:rPr>
      <w:rFonts w:eastAsia="宋体"/>
      <w:b/>
      <w:bCs/>
      <w:color w:val="000000"/>
      <w:sz w:val="18"/>
      <w:szCs w:val="18"/>
      <w:lang w:eastAsia="zh-CN"/>
    </w:rPr>
  </w:style>
  <w:style w:type="paragraph" w:customStyle="1" w:styleId="xl130">
    <w:name w:val="xl130"/>
    <w:basedOn w:val="a"/>
    <w:rsid w:val="00AB32B7"/>
    <w:pPr>
      <w:shd w:val="clear" w:color="000000" w:fill="DBEEF3"/>
      <w:spacing w:before="100" w:beforeAutospacing="1" w:after="100" w:afterAutospacing="1"/>
      <w:jc w:val="right"/>
      <w:textAlignment w:val="bottom"/>
    </w:pPr>
    <w:rPr>
      <w:rFonts w:eastAsia="宋体"/>
      <w:b/>
      <w:bCs/>
      <w:color w:val="000000"/>
      <w:sz w:val="18"/>
      <w:szCs w:val="18"/>
      <w:lang w:eastAsia="zh-CN"/>
    </w:rPr>
  </w:style>
  <w:style w:type="paragraph" w:customStyle="1" w:styleId="xl131">
    <w:name w:val="xl131"/>
    <w:basedOn w:val="a"/>
    <w:rsid w:val="00AB32B7"/>
    <w:pPr>
      <w:pBdr>
        <w:top w:val="single" w:sz="8" w:space="0" w:color="auto"/>
        <w:bottom w:val="double" w:sz="6" w:space="0" w:color="auto"/>
      </w:pBdr>
      <w:spacing w:before="100" w:beforeAutospacing="1" w:after="100" w:afterAutospacing="1"/>
      <w:jc w:val="right"/>
      <w:textAlignment w:val="bottom"/>
    </w:pPr>
    <w:rPr>
      <w:rFonts w:eastAsia="宋体"/>
      <w:b/>
      <w:bCs/>
      <w:color w:val="000000"/>
      <w:sz w:val="18"/>
      <w:szCs w:val="18"/>
      <w:lang w:eastAsia="zh-CN"/>
    </w:rPr>
  </w:style>
  <w:style w:type="paragraph" w:customStyle="1" w:styleId="xl132">
    <w:name w:val="xl132"/>
    <w:basedOn w:val="a"/>
    <w:rsid w:val="00AB32B7"/>
    <w:pPr>
      <w:shd w:val="clear" w:color="000000" w:fill="DBEEF3"/>
      <w:spacing w:before="100" w:beforeAutospacing="1" w:after="100" w:afterAutospacing="1"/>
      <w:jc w:val="right"/>
      <w:textAlignment w:val="bottom"/>
    </w:pPr>
    <w:rPr>
      <w:rFonts w:eastAsia="宋体"/>
      <w:b/>
      <w:bCs/>
      <w:color w:val="000000"/>
      <w:sz w:val="18"/>
      <w:szCs w:val="18"/>
      <w:lang w:eastAsia="zh-CN"/>
    </w:rPr>
  </w:style>
  <w:style w:type="paragraph" w:customStyle="1" w:styleId="xl133">
    <w:name w:val="xl133"/>
    <w:basedOn w:val="a"/>
    <w:rsid w:val="00AB32B7"/>
    <w:pPr>
      <w:spacing w:before="100" w:beforeAutospacing="1" w:after="100" w:afterAutospacing="1"/>
      <w:textAlignment w:val="bottom"/>
    </w:pPr>
    <w:rPr>
      <w:rFonts w:eastAsia="宋体"/>
      <w:color w:val="000000"/>
      <w:sz w:val="18"/>
      <w:szCs w:val="18"/>
      <w:lang w:eastAsia="zh-CN"/>
    </w:rPr>
  </w:style>
  <w:style w:type="paragraph" w:customStyle="1" w:styleId="xl134">
    <w:name w:val="xl134"/>
    <w:basedOn w:val="a"/>
    <w:rsid w:val="00AB32B7"/>
    <w:pPr>
      <w:shd w:val="clear" w:color="000000" w:fill="DBEEF3"/>
      <w:spacing w:before="100" w:beforeAutospacing="1" w:after="100" w:afterAutospacing="1"/>
      <w:jc w:val="right"/>
      <w:textAlignment w:val="bottom"/>
    </w:pPr>
    <w:rPr>
      <w:rFonts w:eastAsia="宋体"/>
      <w:color w:val="000000"/>
      <w:sz w:val="18"/>
      <w:szCs w:val="18"/>
      <w:lang w:eastAsia="zh-CN"/>
    </w:rPr>
  </w:style>
  <w:style w:type="paragraph" w:customStyle="1" w:styleId="xl135">
    <w:name w:val="xl135"/>
    <w:basedOn w:val="a"/>
    <w:rsid w:val="00AB32B7"/>
    <w:pPr>
      <w:shd w:val="clear" w:color="000000" w:fill="DBEEF3"/>
      <w:spacing w:before="100" w:beforeAutospacing="1" w:after="100" w:afterAutospacing="1"/>
      <w:textAlignment w:val="bottom"/>
    </w:pPr>
    <w:rPr>
      <w:rFonts w:eastAsia="宋体"/>
      <w:color w:val="000000"/>
      <w:sz w:val="18"/>
      <w:szCs w:val="18"/>
      <w:lang w:eastAsia="zh-CN"/>
    </w:rPr>
  </w:style>
  <w:style w:type="paragraph" w:customStyle="1" w:styleId="xl136">
    <w:name w:val="xl136"/>
    <w:basedOn w:val="a"/>
    <w:rsid w:val="00AB32B7"/>
    <w:pPr>
      <w:spacing w:before="100" w:beforeAutospacing="1" w:after="100" w:afterAutospacing="1"/>
      <w:jc w:val="right"/>
      <w:textAlignment w:val="bottom"/>
    </w:pPr>
    <w:rPr>
      <w:rFonts w:eastAsia="宋体"/>
      <w:color w:val="000000"/>
      <w:sz w:val="18"/>
      <w:szCs w:val="18"/>
      <w:lang w:eastAsia="zh-CN"/>
    </w:rPr>
  </w:style>
  <w:style w:type="paragraph" w:customStyle="1" w:styleId="xl137">
    <w:name w:val="xl137"/>
    <w:basedOn w:val="a"/>
    <w:rsid w:val="00AB32B7"/>
    <w:pPr>
      <w:pBdr>
        <w:top w:val="single" w:sz="8" w:space="0" w:color="000000"/>
        <w:bottom w:val="double" w:sz="6" w:space="0" w:color="000000"/>
      </w:pBdr>
      <w:shd w:val="clear" w:color="000000" w:fill="DBEEF3"/>
      <w:spacing w:before="100" w:beforeAutospacing="1" w:after="100" w:afterAutospacing="1"/>
      <w:jc w:val="right"/>
      <w:textAlignment w:val="bottom"/>
    </w:pPr>
    <w:rPr>
      <w:rFonts w:eastAsia="宋体"/>
      <w:b/>
      <w:bCs/>
      <w:color w:val="000000"/>
      <w:sz w:val="18"/>
      <w:szCs w:val="18"/>
      <w:lang w:eastAsia="zh-CN"/>
    </w:rPr>
  </w:style>
  <w:style w:type="paragraph" w:customStyle="1" w:styleId="xl138">
    <w:name w:val="xl138"/>
    <w:basedOn w:val="a"/>
    <w:rsid w:val="00AB32B7"/>
    <w:pPr>
      <w:shd w:val="clear" w:color="000000" w:fill="DBEEF3"/>
      <w:spacing w:before="100" w:beforeAutospacing="1" w:after="100" w:afterAutospacing="1"/>
    </w:pPr>
    <w:rPr>
      <w:rFonts w:eastAsia="宋体"/>
      <w:sz w:val="18"/>
      <w:szCs w:val="18"/>
      <w:lang w:eastAsia="zh-CN"/>
    </w:rPr>
  </w:style>
  <w:style w:type="paragraph" w:customStyle="1" w:styleId="xl139">
    <w:name w:val="xl139"/>
    <w:basedOn w:val="a"/>
    <w:rsid w:val="00AB32B7"/>
    <w:pPr>
      <w:pBdr>
        <w:top w:val="double" w:sz="6" w:space="0" w:color="auto"/>
        <w:bottom w:val="single" w:sz="8" w:space="0" w:color="000000"/>
      </w:pBdr>
      <w:spacing w:before="100" w:beforeAutospacing="1" w:after="100" w:afterAutospacing="1"/>
      <w:jc w:val="right"/>
      <w:textAlignment w:val="bottom"/>
    </w:pPr>
    <w:rPr>
      <w:rFonts w:eastAsia="宋体"/>
      <w:color w:val="000000"/>
      <w:sz w:val="18"/>
      <w:szCs w:val="18"/>
      <w:lang w:eastAsia="zh-CN"/>
    </w:rPr>
  </w:style>
  <w:style w:type="paragraph" w:customStyle="1" w:styleId="xl140">
    <w:name w:val="xl140"/>
    <w:basedOn w:val="a"/>
    <w:rsid w:val="00AB32B7"/>
    <w:pPr>
      <w:pBdr>
        <w:top w:val="double" w:sz="6" w:space="0" w:color="000000"/>
      </w:pBdr>
      <w:spacing w:before="100" w:beforeAutospacing="1" w:after="100" w:afterAutospacing="1"/>
      <w:textAlignment w:val="bottom"/>
    </w:pPr>
    <w:rPr>
      <w:rFonts w:eastAsia="宋体"/>
      <w:color w:val="000000"/>
      <w:sz w:val="18"/>
      <w:szCs w:val="18"/>
      <w:lang w:eastAsia="zh-CN"/>
    </w:rPr>
  </w:style>
  <w:style w:type="paragraph" w:customStyle="1" w:styleId="xl141">
    <w:name w:val="xl141"/>
    <w:basedOn w:val="a"/>
    <w:rsid w:val="00AB32B7"/>
    <w:pPr>
      <w:spacing w:before="100" w:beforeAutospacing="1" w:after="100" w:afterAutospacing="1"/>
    </w:pPr>
    <w:rPr>
      <w:rFonts w:eastAsia="宋体"/>
      <w:sz w:val="18"/>
      <w:szCs w:val="18"/>
      <w:lang w:eastAsia="zh-CN"/>
    </w:rPr>
  </w:style>
  <w:style w:type="paragraph" w:customStyle="1" w:styleId="xl142">
    <w:name w:val="xl142"/>
    <w:basedOn w:val="a"/>
    <w:rsid w:val="00AB32B7"/>
    <w:pPr>
      <w:shd w:val="clear" w:color="000000" w:fill="DBEEF3"/>
      <w:spacing w:before="100" w:beforeAutospacing="1" w:after="100" w:afterAutospacing="1"/>
      <w:jc w:val="right"/>
      <w:textAlignment w:val="bottom"/>
    </w:pPr>
    <w:rPr>
      <w:rFonts w:eastAsia="宋体"/>
      <w:color w:val="000000"/>
      <w:sz w:val="14"/>
      <w:szCs w:val="14"/>
      <w:lang w:eastAsia="zh-CN"/>
    </w:rPr>
  </w:style>
  <w:style w:type="paragraph" w:customStyle="1" w:styleId="xl143">
    <w:name w:val="xl143"/>
    <w:basedOn w:val="a"/>
    <w:rsid w:val="00AB32B7"/>
    <w:pPr>
      <w:shd w:val="clear" w:color="000000" w:fill="DBEEF3"/>
      <w:spacing w:before="100" w:beforeAutospacing="1" w:after="100" w:afterAutospacing="1"/>
      <w:jc w:val="right"/>
      <w:textAlignment w:val="bottom"/>
    </w:pPr>
    <w:rPr>
      <w:rFonts w:eastAsia="宋体"/>
      <w:color w:val="000000"/>
      <w:sz w:val="14"/>
      <w:szCs w:val="14"/>
      <w:lang w:eastAsia="zh-CN"/>
    </w:rPr>
  </w:style>
  <w:style w:type="paragraph" w:customStyle="1" w:styleId="xl144">
    <w:name w:val="xl144"/>
    <w:basedOn w:val="a"/>
    <w:rsid w:val="00AB32B7"/>
    <w:pPr>
      <w:shd w:val="clear" w:color="000000" w:fill="DBEEF3"/>
      <w:spacing w:before="100" w:beforeAutospacing="1" w:after="100" w:afterAutospacing="1"/>
      <w:textAlignment w:val="bottom"/>
    </w:pPr>
    <w:rPr>
      <w:rFonts w:eastAsia="宋体"/>
      <w:color w:val="000000"/>
      <w:sz w:val="14"/>
      <w:szCs w:val="14"/>
      <w:lang w:eastAsia="zh-CN"/>
    </w:rPr>
  </w:style>
  <w:style w:type="paragraph" w:customStyle="1" w:styleId="xl145">
    <w:name w:val="xl145"/>
    <w:basedOn w:val="a"/>
    <w:rsid w:val="00AB32B7"/>
    <w:pPr>
      <w:spacing w:before="100" w:beforeAutospacing="1" w:after="100" w:afterAutospacing="1"/>
      <w:jc w:val="right"/>
      <w:textAlignment w:val="bottom"/>
    </w:pPr>
    <w:rPr>
      <w:rFonts w:eastAsia="宋体"/>
      <w:color w:val="000000"/>
      <w:sz w:val="14"/>
      <w:szCs w:val="14"/>
      <w:lang w:eastAsia="zh-CN"/>
    </w:rPr>
  </w:style>
  <w:style w:type="paragraph" w:customStyle="1" w:styleId="xl146">
    <w:name w:val="xl146"/>
    <w:basedOn w:val="a"/>
    <w:rsid w:val="00AB32B7"/>
    <w:pPr>
      <w:spacing w:before="100" w:beforeAutospacing="1" w:after="100" w:afterAutospacing="1"/>
      <w:jc w:val="right"/>
      <w:textAlignment w:val="bottom"/>
    </w:pPr>
    <w:rPr>
      <w:rFonts w:eastAsia="宋体"/>
      <w:color w:val="000000"/>
      <w:sz w:val="14"/>
      <w:szCs w:val="14"/>
      <w:lang w:eastAsia="zh-CN"/>
    </w:rPr>
  </w:style>
  <w:style w:type="paragraph" w:customStyle="1" w:styleId="xl147">
    <w:name w:val="xl147"/>
    <w:basedOn w:val="a"/>
    <w:rsid w:val="00AB32B7"/>
    <w:pPr>
      <w:spacing w:before="100" w:beforeAutospacing="1" w:after="100" w:afterAutospacing="1"/>
      <w:textAlignment w:val="bottom"/>
    </w:pPr>
    <w:rPr>
      <w:rFonts w:eastAsia="宋体"/>
      <w:color w:val="000000"/>
      <w:sz w:val="14"/>
      <w:szCs w:val="14"/>
      <w:lang w:eastAsia="zh-CN"/>
    </w:rPr>
  </w:style>
  <w:style w:type="paragraph" w:customStyle="1" w:styleId="xl148">
    <w:name w:val="xl148"/>
    <w:basedOn w:val="a"/>
    <w:rsid w:val="00AB32B7"/>
    <w:pPr>
      <w:pBdr>
        <w:bottom w:val="single" w:sz="8" w:space="0" w:color="auto"/>
      </w:pBdr>
      <w:shd w:val="clear" w:color="000000" w:fill="DBEEF3"/>
      <w:spacing w:before="100" w:beforeAutospacing="1" w:after="100" w:afterAutospacing="1"/>
      <w:jc w:val="center"/>
      <w:textAlignment w:val="bottom"/>
    </w:pPr>
    <w:rPr>
      <w:rFonts w:eastAsia="宋体"/>
      <w:b/>
      <w:bCs/>
      <w:color w:val="000000"/>
      <w:sz w:val="18"/>
      <w:szCs w:val="18"/>
      <w:lang w:eastAsia="zh-CN"/>
    </w:rPr>
  </w:style>
  <w:style w:type="paragraph" w:customStyle="1" w:styleId="xl149">
    <w:name w:val="xl149"/>
    <w:basedOn w:val="a"/>
    <w:rsid w:val="00AB32B7"/>
    <w:pPr>
      <w:spacing w:before="100" w:beforeAutospacing="1" w:after="100" w:afterAutospacing="1"/>
      <w:jc w:val="center"/>
    </w:pPr>
    <w:rPr>
      <w:rFonts w:eastAsia="宋体"/>
      <w:b/>
      <w:bCs/>
      <w:color w:val="000000"/>
      <w:sz w:val="20"/>
      <w:szCs w:val="20"/>
      <w:lang w:eastAsia="zh-CN"/>
    </w:rPr>
  </w:style>
  <w:style w:type="paragraph" w:customStyle="1" w:styleId="xl150">
    <w:name w:val="xl150"/>
    <w:basedOn w:val="a"/>
    <w:rsid w:val="00AB32B7"/>
    <w:pPr>
      <w:shd w:val="clear" w:color="000000" w:fill="DBEEF3"/>
      <w:spacing w:before="100" w:beforeAutospacing="1" w:after="100" w:afterAutospacing="1"/>
      <w:jc w:val="right"/>
      <w:textAlignment w:val="bottom"/>
    </w:pPr>
    <w:rPr>
      <w:rFonts w:eastAsia="宋体"/>
      <w:sz w:val="18"/>
      <w:szCs w:val="18"/>
      <w:lang w:eastAsia="zh-CN"/>
    </w:rPr>
  </w:style>
  <w:style w:type="paragraph" w:customStyle="1" w:styleId="xl151">
    <w:name w:val="xl151"/>
    <w:basedOn w:val="a"/>
    <w:rsid w:val="00AB32B7"/>
    <w:pPr>
      <w:spacing w:before="100" w:beforeAutospacing="1" w:after="100" w:afterAutospacing="1"/>
      <w:jc w:val="right"/>
      <w:textAlignment w:val="bottom"/>
    </w:pPr>
    <w:rPr>
      <w:rFonts w:eastAsia="宋体"/>
      <w:sz w:val="18"/>
      <w:szCs w:val="18"/>
      <w:lang w:eastAsia="zh-CN"/>
    </w:rPr>
  </w:style>
</w:styles>
</file>

<file path=word/webSettings.xml><?xml version="1.0" encoding="utf-8"?>
<w:webSettings xmlns:r="http://schemas.openxmlformats.org/officeDocument/2006/relationships" xmlns:w="http://schemas.openxmlformats.org/wordprocessingml/2006/main">
  <w:divs>
    <w:div w:id="186676674">
      <w:marLeft w:val="0"/>
      <w:marRight w:val="0"/>
      <w:marTop w:val="0"/>
      <w:marBottom w:val="0"/>
      <w:divBdr>
        <w:top w:val="none" w:sz="0" w:space="0" w:color="auto"/>
        <w:left w:val="none" w:sz="0" w:space="0" w:color="auto"/>
        <w:bottom w:val="none" w:sz="0" w:space="0" w:color="auto"/>
        <w:right w:val="none" w:sz="0" w:space="0" w:color="auto"/>
      </w:divBdr>
      <w:divsChild>
        <w:div w:id="572669324">
          <w:marLeft w:val="0"/>
          <w:marRight w:val="0"/>
          <w:marTop w:val="0"/>
          <w:marBottom w:val="0"/>
          <w:divBdr>
            <w:top w:val="single" w:sz="18" w:space="0" w:color="000000"/>
            <w:left w:val="none" w:sz="0" w:space="0" w:color="auto"/>
            <w:bottom w:val="single" w:sz="8" w:space="0" w:color="000000"/>
            <w:right w:val="none" w:sz="0" w:space="0" w:color="auto"/>
          </w:divBdr>
        </w:div>
      </w:divsChild>
    </w:div>
    <w:div w:id="108155898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iseir@rdchina.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iseir@rdch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A75C-A021-4B9F-938F-94445A40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Submission Proof - tv480220</vt:lpstr>
    </vt:vector>
  </TitlesOfParts>
  <Company>P R C</Company>
  <LinksUpToDate>false</LinksUpToDate>
  <CharactersWithSpaces>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tv480220</dc:title>
  <dc:creator>mchen@tvny747.onmicrosoft.com</dc:creator>
  <cp:lastModifiedBy>Mei</cp:lastModifiedBy>
  <cp:revision>3</cp:revision>
  <cp:lastPrinted>2018-03-08T12:45:00Z</cp:lastPrinted>
  <dcterms:created xsi:type="dcterms:W3CDTF">2018-03-15T11:14:00Z</dcterms:created>
  <dcterms:modified xsi:type="dcterms:W3CDTF">2018-03-15T11:27:00Z</dcterms:modified>
</cp:coreProperties>
</file>